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04FD" w14:textId="590806F7" w:rsidR="0096753E" w:rsidRDefault="00E462BE">
      <w:pPr>
        <w:jc w:val="center"/>
        <w:rPr>
          <w:rFonts w:ascii="黑体" w:eastAsia="黑体" w:hAnsi="黑体" w:cs="Times New Roman"/>
          <w:b/>
          <w:sz w:val="28"/>
          <w:szCs w:val="28"/>
        </w:rPr>
      </w:pPr>
      <w:r>
        <w:rPr>
          <w:rFonts w:ascii="黑体" w:eastAsia="黑体" w:hAnsi="黑体" w:cs="Times New Roman" w:hint="eastAsia"/>
          <w:b/>
          <w:sz w:val="28"/>
          <w:szCs w:val="28"/>
        </w:rPr>
        <w:t>利妥昔单抗注射液生物类似药临床试验</w:t>
      </w:r>
      <w:r w:rsidR="0095049B">
        <w:rPr>
          <w:rFonts w:ascii="黑体" w:eastAsia="黑体" w:hAnsi="黑体" w:cs="Times New Roman" w:hint="eastAsia"/>
          <w:b/>
          <w:sz w:val="28"/>
          <w:szCs w:val="28"/>
        </w:rPr>
        <w:t>指导</w:t>
      </w:r>
      <w:r w:rsidR="0095049B">
        <w:rPr>
          <w:rFonts w:ascii="黑体" w:eastAsia="黑体" w:hAnsi="黑体" w:cs="Times New Roman"/>
          <w:b/>
          <w:sz w:val="28"/>
          <w:szCs w:val="28"/>
        </w:rPr>
        <w:t>原则</w:t>
      </w:r>
      <w:r w:rsidR="006A1406">
        <w:rPr>
          <w:rFonts w:ascii="黑体" w:eastAsia="黑体" w:hAnsi="黑体" w:cs="Times New Roman" w:hint="eastAsia"/>
          <w:b/>
          <w:sz w:val="28"/>
          <w:szCs w:val="28"/>
        </w:rPr>
        <w:t>（</w:t>
      </w:r>
      <w:r w:rsidR="009817C2">
        <w:rPr>
          <w:rFonts w:ascii="黑体" w:eastAsia="黑体" w:hAnsi="黑体" w:cs="Times New Roman" w:hint="eastAsia"/>
          <w:b/>
          <w:sz w:val="28"/>
          <w:szCs w:val="28"/>
        </w:rPr>
        <w:t>征求意见稿</w:t>
      </w:r>
      <w:bookmarkStart w:id="0" w:name="_GoBack"/>
      <w:bookmarkEnd w:id="0"/>
      <w:r w:rsidR="006A1406">
        <w:rPr>
          <w:rFonts w:ascii="黑体" w:eastAsia="黑体" w:hAnsi="黑体" w:cs="Times New Roman" w:hint="eastAsia"/>
          <w:b/>
          <w:sz w:val="28"/>
          <w:szCs w:val="28"/>
        </w:rPr>
        <w:t>）</w:t>
      </w:r>
    </w:p>
    <w:p w14:paraId="166D36B4" w14:textId="77777777" w:rsidR="0096753E" w:rsidRDefault="0096753E">
      <w:pPr>
        <w:rPr>
          <w:rFonts w:ascii="黑体" w:eastAsia="黑体" w:hAnsi="黑体" w:cs="Times New Roman"/>
          <w:b/>
          <w:sz w:val="28"/>
          <w:szCs w:val="28"/>
        </w:rPr>
      </w:pPr>
    </w:p>
    <w:p w14:paraId="76D8543B" w14:textId="77777777" w:rsidR="0096753E" w:rsidRDefault="00E462BE">
      <w:pPr>
        <w:spacing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一、</w:t>
      </w:r>
      <w:r>
        <w:rPr>
          <w:rFonts w:ascii="宋体" w:eastAsia="宋体" w:hAnsi="宋体" w:cs="Times New Roman" w:hint="eastAsia"/>
          <w:b/>
          <w:sz w:val="24"/>
          <w:szCs w:val="24"/>
        </w:rPr>
        <w:t>概述</w:t>
      </w:r>
    </w:p>
    <w:p w14:paraId="64244827" w14:textId="215B071B" w:rsidR="0096753E" w:rsidRDefault="00E462BE">
      <w:pPr>
        <w:spacing w:line="360" w:lineRule="auto"/>
        <w:ind w:firstLineChars="200" w:firstLine="480"/>
        <w:contextualSpacing/>
        <w:rPr>
          <w:rFonts w:ascii="宋体" w:eastAsia="宋体" w:hAnsi="宋体"/>
          <w:sz w:val="24"/>
          <w:szCs w:val="24"/>
        </w:rPr>
      </w:pPr>
      <w:proofErr w:type="gramStart"/>
      <w:r>
        <w:rPr>
          <w:rFonts w:ascii="宋体" w:eastAsia="宋体" w:hAnsi="宋体" w:hint="eastAsia"/>
          <w:sz w:val="24"/>
          <w:szCs w:val="24"/>
        </w:rPr>
        <w:t>利妥昔单</w:t>
      </w:r>
      <w:proofErr w:type="gramEnd"/>
      <w:r>
        <w:rPr>
          <w:rFonts w:ascii="宋体" w:eastAsia="宋体" w:hAnsi="宋体" w:hint="eastAsia"/>
          <w:sz w:val="24"/>
          <w:szCs w:val="24"/>
        </w:rPr>
        <w:t>抗（Rituximab）是一种</w:t>
      </w:r>
      <w:r w:rsidR="00427744">
        <w:rPr>
          <w:rFonts w:ascii="宋体" w:eastAsia="宋体" w:hAnsi="宋体" w:hint="eastAsia"/>
          <w:sz w:val="24"/>
          <w:szCs w:val="24"/>
        </w:rPr>
        <w:t>采用</w:t>
      </w:r>
      <w:r>
        <w:rPr>
          <w:rFonts w:ascii="宋体" w:eastAsia="宋体" w:hAnsi="宋体" w:hint="eastAsia"/>
          <w:sz w:val="24"/>
          <w:szCs w:val="24"/>
        </w:rPr>
        <w:t>基因工程</w:t>
      </w:r>
      <w:r w:rsidR="00427744">
        <w:rPr>
          <w:rFonts w:ascii="宋体" w:eastAsia="宋体" w:hAnsi="宋体" w:hint="eastAsia"/>
          <w:sz w:val="24"/>
          <w:szCs w:val="24"/>
        </w:rPr>
        <w:t>技术</w:t>
      </w:r>
      <w:r>
        <w:rPr>
          <w:rFonts w:ascii="宋体" w:eastAsia="宋体" w:hAnsi="宋体" w:hint="eastAsia"/>
          <w:sz w:val="24"/>
          <w:szCs w:val="24"/>
        </w:rPr>
        <w:t>合成的人鼠嵌合单克隆抗体，由</w:t>
      </w:r>
      <w:r w:rsidR="00427744">
        <w:rPr>
          <w:rFonts w:ascii="宋体" w:eastAsia="宋体" w:hAnsi="宋体" w:hint="eastAsia"/>
          <w:sz w:val="24"/>
          <w:szCs w:val="24"/>
        </w:rPr>
        <w:t>人源</w:t>
      </w:r>
      <w:r>
        <w:rPr>
          <w:rFonts w:ascii="宋体" w:eastAsia="宋体" w:hAnsi="宋体" w:hint="eastAsia"/>
          <w:sz w:val="24"/>
          <w:szCs w:val="24"/>
        </w:rPr>
        <w:t>IgG1 kappa恒定区和鼠源CD20</w:t>
      </w:r>
      <w:r w:rsidR="00427744">
        <w:rPr>
          <w:rFonts w:ascii="宋体" w:eastAsia="宋体" w:hAnsi="宋体" w:hint="eastAsia"/>
          <w:sz w:val="24"/>
          <w:szCs w:val="24"/>
        </w:rPr>
        <w:t>抗体</w:t>
      </w:r>
      <w:r>
        <w:rPr>
          <w:rFonts w:ascii="宋体" w:eastAsia="宋体" w:hAnsi="宋体" w:hint="eastAsia"/>
          <w:sz w:val="24"/>
          <w:szCs w:val="24"/>
        </w:rPr>
        <w:t>可变区组成，可在中国仓鼠卵巢（CHO)细胞中</w:t>
      </w:r>
      <w:r w:rsidR="00427744">
        <w:rPr>
          <w:rFonts w:ascii="宋体" w:eastAsia="宋体" w:hAnsi="宋体" w:hint="eastAsia"/>
          <w:sz w:val="24"/>
          <w:szCs w:val="24"/>
        </w:rPr>
        <w:t>表达</w:t>
      </w:r>
      <w:r>
        <w:rPr>
          <w:rFonts w:ascii="宋体" w:eastAsia="宋体" w:hAnsi="宋体" w:hint="eastAsia"/>
          <w:sz w:val="24"/>
          <w:szCs w:val="24"/>
        </w:rPr>
        <w:t>，</w:t>
      </w:r>
      <w:proofErr w:type="gramStart"/>
      <w:r>
        <w:rPr>
          <w:rFonts w:ascii="宋体" w:eastAsia="宋体" w:hAnsi="宋体" w:hint="eastAsia"/>
          <w:sz w:val="24"/>
          <w:szCs w:val="24"/>
        </w:rPr>
        <w:t>利妥昔单</w:t>
      </w:r>
      <w:proofErr w:type="gramEnd"/>
      <w:r>
        <w:rPr>
          <w:rFonts w:ascii="宋体" w:eastAsia="宋体" w:hAnsi="宋体" w:hint="eastAsia"/>
          <w:sz w:val="24"/>
          <w:szCs w:val="24"/>
        </w:rPr>
        <w:t>抗能特异性结合B</w:t>
      </w:r>
      <w:r w:rsidR="00427744">
        <w:rPr>
          <w:rFonts w:ascii="宋体" w:eastAsia="宋体" w:hAnsi="宋体" w:hint="eastAsia"/>
          <w:sz w:val="24"/>
          <w:szCs w:val="24"/>
        </w:rPr>
        <w:t>细胞表面</w:t>
      </w:r>
      <w:r w:rsidR="00427744">
        <w:rPr>
          <w:rFonts w:ascii="宋体" w:eastAsia="宋体" w:hAnsi="宋体"/>
          <w:sz w:val="24"/>
          <w:szCs w:val="24"/>
        </w:rPr>
        <w:t>跨膜蛋白</w:t>
      </w:r>
      <w:r>
        <w:rPr>
          <w:rFonts w:ascii="宋体" w:eastAsia="宋体" w:hAnsi="宋体" w:hint="eastAsia"/>
          <w:sz w:val="24"/>
          <w:szCs w:val="24"/>
        </w:rPr>
        <w:t>CD20，通过抗体依赖</w:t>
      </w:r>
      <w:r w:rsidR="00427744">
        <w:rPr>
          <w:rFonts w:ascii="宋体" w:eastAsia="宋体" w:hAnsi="宋体" w:hint="eastAsia"/>
          <w:sz w:val="24"/>
          <w:szCs w:val="24"/>
        </w:rPr>
        <w:t>细胞</w:t>
      </w:r>
      <w:proofErr w:type="gramStart"/>
      <w:r w:rsidR="00427744">
        <w:rPr>
          <w:rFonts w:ascii="宋体" w:eastAsia="宋体" w:hAnsi="宋体"/>
          <w:sz w:val="24"/>
          <w:szCs w:val="24"/>
        </w:rPr>
        <w:t>介</w:t>
      </w:r>
      <w:proofErr w:type="gramEnd"/>
      <w:r w:rsidR="00427744">
        <w:rPr>
          <w:rFonts w:ascii="宋体" w:eastAsia="宋体" w:hAnsi="宋体"/>
          <w:sz w:val="24"/>
          <w:szCs w:val="24"/>
        </w:rPr>
        <w:t>导的细胞</w:t>
      </w:r>
      <w:r>
        <w:rPr>
          <w:rFonts w:ascii="宋体" w:eastAsia="宋体" w:hAnsi="宋体" w:hint="eastAsia"/>
          <w:sz w:val="24"/>
          <w:szCs w:val="24"/>
        </w:rPr>
        <w:t>毒作用（ADCC）和补体依赖的细胞毒作用（CDC）两种途径杀伤CD20阳性的B淋巴细胞。</w:t>
      </w:r>
    </w:p>
    <w:p w14:paraId="5EF0EF96" w14:textId="0C98DAFD" w:rsidR="0096753E" w:rsidRDefault="00E462BE">
      <w:pPr>
        <w:spacing w:line="360" w:lineRule="auto"/>
        <w:ind w:firstLineChars="200" w:firstLine="480"/>
        <w:contextualSpacing/>
        <w:rPr>
          <w:rFonts w:ascii="宋体" w:eastAsia="宋体" w:hAnsi="宋体"/>
          <w:sz w:val="24"/>
          <w:szCs w:val="24"/>
        </w:rPr>
      </w:pPr>
      <w:proofErr w:type="gramStart"/>
      <w:r>
        <w:rPr>
          <w:rFonts w:ascii="宋体" w:eastAsia="宋体" w:hAnsi="宋体" w:hint="eastAsia"/>
          <w:sz w:val="24"/>
          <w:szCs w:val="24"/>
        </w:rPr>
        <w:t>利妥昔单抗由</w:t>
      </w:r>
      <w:proofErr w:type="gramEnd"/>
      <w:r>
        <w:rPr>
          <w:rFonts w:ascii="宋体" w:eastAsia="宋体" w:hAnsi="宋体" w:hint="eastAsia"/>
          <w:sz w:val="24"/>
          <w:szCs w:val="24"/>
        </w:rPr>
        <w:t>Genentech公司原研，1997年获得美国FDA批准上市</w:t>
      </w:r>
      <w:r>
        <w:rPr>
          <w:rFonts w:ascii="宋体" w:eastAsia="宋体" w:hAnsi="宋体"/>
          <w:sz w:val="24"/>
          <w:szCs w:val="24"/>
        </w:rPr>
        <w:t>，</w:t>
      </w:r>
      <w:r>
        <w:rPr>
          <w:rFonts w:ascii="宋体" w:eastAsia="宋体" w:hAnsi="宋体" w:hint="eastAsia"/>
          <w:sz w:val="24"/>
          <w:szCs w:val="24"/>
        </w:rPr>
        <w:t>通用名为利</w:t>
      </w:r>
      <w:proofErr w:type="gramStart"/>
      <w:r>
        <w:rPr>
          <w:rFonts w:ascii="宋体" w:eastAsia="宋体" w:hAnsi="宋体" w:hint="eastAsia"/>
          <w:sz w:val="24"/>
          <w:szCs w:val="24"/>
        </w:rPr>
        <w:t>妥昔单</w:t>
      </w:r>
      <w:proofErr w:type="gramEnd"/>
      <w:r>
        <w:rPr>
          <w:rFonts w:ascii="宋体" w:eastAsia="宋体" w:hAnsi="宋体" w:hint="eastAsia"/>
          <w:sz w:val="24"/>
          <w:szCs w:val="24"/>
        </w:rPr>
        <w:t>抗（Rituximab），商品名为RITUXAN®，之后该药物在欧洲（商品名</w:t>
      </w:r>
      <w:proofErr w:type="spellStart"/>
      <w:r>
        <w:rPr>
          <w:rFonts w:ascii="宋体" w:eastAsia="宋体" w:hAnsi="宋体" w:hint="eastAsia"/>
          <w:sz w:val="24"/>
          <w:szCs w:val="24"/>
        </w:rPr>
        <w:t>MabThera</w:t>
      </w:r>
      <w:proofErr w:type="spellEnd"/>
      <w:r>
        <w:rPr>
          <w:rFonts w:ascii="宋体" w:eastAsia="宋体" w:hAnsi="宋体" w:hint="eastAsia"/>
          <w:sz w:val="24"/>
          <w:szCs w:val="24"/>
        </w:rPr>
        <w:t>®）和日本等地相继上市，适应症</w:t>
      </w:r>
      <w:r w:rsidR="00F140B9">
        <w:rPr>
          <w:rFonts w:ascii="宋体" w:eastAsia="宋体" w:hAnsi="宋体" w:hint="eastAsia"/>
          <w:sz w:val="24"/>
          <w:szCs w:val="24"/>
        </w:rPr>
        <w:t>为</w:t>
      </w:r>
      <w:r>
        <w:rPr>
          <w:rFonts w:ascii="宋体" w:eastAsia="宋体" w:hAnsi="宋体" w:hint="eastAsia"/>
          <w:sz w:val="24"/>
          <w:szCs w:val="24"/>
        </w:rPr>
        <w:t>：(1) 非霍奇金淋巴瘤（NHL）；(2) 慢性淋巴细胞白血病（CLL）；(3) 类风湿性关节炎（RA）；(4) 多血管性肉芽肿（GPA）和显微镜性多发性血管炎（MPA）。</w:t>
      </w:r>
    </w:p>
    <w:p w14:paraId="5C242B27" w14:textId="23EB568A" w:rsidR="0096753E" w:rsidRDefault="00E462BE">
      <w:pPr>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2000年利</w:t>
      </w:r>
      <w:proofErr w:type="gramStart"/>
      <w:r>
        <w:rPr>
          <w:rFonts w:ascii="宋体" w:eastAsia="宋体" w:hAnsi="宋体" w:hint="eastAsia"/>
          <w:sz w:val="24"/>
          <w:szCs w:val="24"/>
        </w:rPr>
        <w:t>妥昔单抗在</w:t>
      </w:r>
      <w:proofErr w:type="gramEnd"/>
      <w:r>
        <w:rPr>
          <w:rFonts w:ascii="宋体" w:eastAsia="宋体" w:hAnsi="宋体" w:hint="eastAsia"/>
          <w:sz w:val="24"/>
          <w:szCs w:val="24"/>
        </w:rPr>
        <w:t>中国上市，商品名为美罗华®，批准的适应症</w:t>
      </w:r>
      <w:r w:rsidRPr="002A4B9A">
        <w:rPr>
          <w:rFonts w:ascii="宋体" w:eastAsia="宋体" w:hAnsi="宋体" w:hint="eastAsia"/>
          <w:sz w:val="24"/>
          <w:szCs w:val="24"/>
          <w:vertAlign w:val="superscript"/>
        </w:rPr>
        <w:t>[1]</w:t>
      </w:r>
      <w:r>
        <w:rPr>
          <w:rFonts w:ascii="宋体" w:eastAsia="宋体" w:hAnsi="宋体" w:hint="eastAsia"/>
          <w:sz w:val="24"/>
          <w:szCs w:val="24"/>
        </w:rPr>
        <w:t>：（1）非霍奇金淋巴瘤：先前未经治疗的</w:t>
      </w:r>
      <w:r>
        <w:rPr>
          <w:rFonts w:ascii="宋体" w:eastAsia="宋体" w:hAnsi="宋体"/>
          <w:sz w:val="24"/>
          <w:szCs w:val="24"/>
        </w:rPr>
        <w:t>CD20</w:t>
      </w:r>
      <w:r>
        <w:rPr>
          <w:rFonts w:ascii="宋体" w:eastAsia="宋体" w:hAnsi="宋体" w:hint="eastAsia"/>
          <w:sz w:val="24"/>
          <w:szCs w:val="24"/>
        </w:rPr>
        <w:t>阳性</w:t>
      </w:r>
      <w:r>
        <w:rPr>
          <w:rFonts w:ascii="宋体" w:eastAsia="宋体" w:hAnsi="宋体"/>
          <w:sz w:val="24"/>
          <w:szCs w:val="24"/>
        </w:rPr>
        <w:t>III-IV</w:t>
      </w:r>
      <w:r>
        <w:rPr>
          <w:rFonts w:ascii="宋体" w:eastAsia="宋体" w:hAnsi="宋体" w:hint="eastAsia"/>
          <w:sz w:val="24"/>
          <w:szCs w:val="24"/>
        </w:rPr>
        <w:t>期滤泡性非霍奇金淋巴瘤患者</w:t>
      </w:r>
      <w:r>
        <w:rPr>
          <w:rFonts w:ascii="宋体" w:eastAsia="宋体" w:hAnsi="宋体"/>
          <w:sz w:val="24"/>
          <w:szCs w:val="24"/>
        </w:rPr>
        <w:t>,</w:t>
      </w:r>
      <w:r>
        <w:rPr>
          <w:rFonts w:ascii="宋体" w:eastAsia="宋体" w:hAnsi="宋体" w:hint="eastAsia"/>
          <w:sz w:val="24"/>
          <w:szCs w:val="24"/>
        </w:rPr>
        <w:t>应与化疗联合使用；初治滤泡性淋巴瘤患者经美罗华联合化疗后达完全或部分缓解后的单药维持治疗；复发或化疗耐药的滤泡性淋巴瘤；</w:t>
      </w:r>
      <w:r>
        <w:rPr>
          <w:rFonts w:ascii="宋体" w:eastAsia="宋体" w:hAnsi="宋体"/>
          <w:sz w:val="24"/>
          <w:szCs w:val="24"/>
        </w:rPr>
        <w:t>CD20</w:t>
      </w:r>
      <w:r>
        <w:rPr>
          <w:rFonts w:ascii="宋体" w:eastAsia="宋体" w:hAnsi="宋体" w:hint="eastAsia"/>
          <w:sz w:val="24"/>
          <w:szCs w:val="24"/>
        </w:rPr>
        <w:t>阳性弥漫大</w:t>
      </w:r>
      <w:r>
        <w:rPr>
          <w:rFonts w:ascii="宋体" w:eastAsia="宋体" w:hAnsi="宋体"/>
          <w:sz w:val="24"/>
          <w:szCs w:val="24"/>
        </w:rPr>
        <w:t>B</w:t>
      </w:r>
      <w:r>
        <w:rPr>
          <w:rFonts w:ascii="宋体" w:eastAsia="宋体" w:hAnsi="宋体" w:hint="eastAsia"/>
          <w:sz w:val="24"/>
          <w:szCs w:val="24"/>
        </w:rPr>
        <w:t>细胞性非霍奇金淋巴瘤（</w:t>
      </w:r>
      <w:r>
        <w:rPr>
          <w:rFonts w:ascii="宋体" w:eastAsia="宋体" w:hAnsi="宋体"/>
          <w:sz w:val="24"/>
          <w:szCs w:val="24"/>
        </w:rPr>
        <w:t>DLBCL</w:t>
      </w:r>
      <w:r>
        <w:rPr>
          <w:rFonts w:ascii="宋体" w:eastAsia="宋体" w:hAnsi="宋体" w:hint="eastAsia"/>
          <w:sz w:val="24"/>
          <w:szCs w:val="24"/>
        </w:rPr>
        <w:t>）应与标准</w:t>
      </w:r>
      <w:r>
        <w:rPr>
          <w:rFonts w:ascii="宋体" w:eastAsia="宋体" w:hAnsi="宋体"/>
          <w:sz w:val="24"/>
          <w:szCs w:val="24"/>
        </w:rPr>
        <w:t>CHOP</w:t>
      </w:r>
      <w:r>
        <w:rPr>
          <w:rFonts w:ascii="宋体" w:eastAsia="宋体" w:hAnsi="宋体" w:hint="eastAsia"/>
          <w:sz w:val="24"/>
          <w:szCs w:val="24"/>
        </w:rPr>
        <w:t>化疗（环磷酰胺、阿霉素、长春新碱、强的松）</w:t>
      </w:r>
      <w:r>
        <w:rPr>
          <w:rFonts w:ascii="宋体" w:eastAsia="宋体" w:hAnsi="宋体"/>
          <w:sz w:val="24"/>
          <w:szCs w:val="24"/>
        </w:rPr>
        <w:t>8</w:t>
      </w:r>
      <w:r>
        <w:rPr>
          <w:rFonts w:ascii="宋体" w:eastAsia="宋体" w:hAnsi="宋体" w:hint="eastAsia"/>
          <w:sz w:val="24"/>
          <w:szCs w:val="24"/>
        </w:rPr>
        <w:t>个周期联合治疗。（2）慢性淋巴细胞白血病：</w:t>
      </w:r>
      <w:proofErr w:type="gramStart"/>
      <w:r>
        <w:rPr>
          <w:rFonts w:ascii="宋体" w:eastAsia="宋体" w:hAnsi="宋体" w:hint="eastAsia"/>
          <w:sz w:val="24"/>
          <w:szCs w:val="24"/>
        </w:rPr>
        <w:t>与氟达拉</w:t>
      </w:r>
      <w:proofErr w:type="gramEnd"/>
      <w:r>
        <w:rPr>
          <w:rFonts w:ascii="宋体" w:eastAsia="宋体" w:hAnsi="宋体" w:hint="eastAsia"/>
          <w:sz w:val="24"/>
          <w:szCs w:val="24"/>
        </w:rPr>
        <w:t>滨和环磷酰胺（</w:t>
      </w:r>
      <w:r>
        <w:rPr>
          <w:rFonts w:ascii="宋体" w:eastAsia="宋体" w:hAnsi="宋体"/>
          <w:sz w:val="24"/>
          <w:szCs w:val="24"/>
        </w:rPr>
        <w:t>FC）</w:t>
      </w:r>
      <w:r>
        <w:rPr>
          <w:rFonts w:ascii="宋体" w:eastAsia="宋体" w:hAnsi="宋体" w:hint="eastAsia"/>
          <w:sz w:val="24"/>
          <w:szCs w:val="24"/>
        </w:rPr>
        <w:t>联合治疗先前未经治疗或复发性</w:t>
      </w:r>
      <w:r>
        <w:rPr>
          <w:rFonts w:ascii="宋体" w:eastAsia="宋体" w:hAnsi="宋体"/>
          <w:sz w:val="24"/>
          <w:szCs w:val="24"/>
        </w:rPr>
        <w:t>/</w:t>
      </w:r>
      <w:r>
        <w:rPr>
          <w:rFonts w:ascii="宋体" w:eastAsia="宋体" w:hAnsi="宋体" w:hint="eastAsia"/>
          <w:sz w:val="24"/>
          <w:szCs w:val="24"/>
        </w:rPr>
        <w:t>难治性慢性淋巴细胞白血病（</w:t>
      </w:r>
      <w:r>
        <w:rPr>
          <w:rFonts w:ascii="宋体" w:eastAsia="宋体" w:hAnsi="宋体"/>
          <w:sz w:val="24"/>
          <w:szCs w:val="24"/>
        </w:rPr>
        <w:t>CLL</w:t>
      </w:r>
      <w:r>
        <w:rPr>
          <w:rFonts w:ascii="宋体" w:eastAsia="宋体" w:hAnsi="宋体" w:hint="eastAsia"/>
          <w:sz w:val="24"/>
          <w:szCs w:val="24"/>
        </w:rPr>
        <w:t>）患者。</w:t>
      </w:r>
    </w:p>
    <w:p w14:paraId="729852F4" w14:textId="5E070B5D" w:rsidR="0096753E" w:rsidRDefault="00E462BE">
      <w:pPr>
        <w:pStyle w:val="3"/>
        <w:spacing w:beforeLines="0" w:before="0" w:afterLines="0" w:after="0" w:line="360" w:lineRule="auto"/>
        <w:contextualSpacing/>
        <w:rPr>
          <w:rFonts w:ascii="宋体" w:eastAsia="宋体" w:hAnsi="宋体"/>
        </w:rPr>
      </w:pPr>
      <w:proofErr w:type="gramStart"/>
      <w:r>
        <w:rPr>
          <w:rFonts w:ascii="宋体" w:eastAsia="宋体" w:hAnsi="宋体" w:hint="eastAsia"/>
        </w:rPr>
        <w:t>利妥昔单</w:t>
      </w:r>
      <w:proofErr w:type="gramEnd"/>
      <w:r>
        <w:rPr>
          <w:rFonts w:ascii="宋体" w:eastAsia="宋体" w:hAnsi="宋体" w:hint="eastAsia"/>
        </w:rPr>
        <w:t>抗</w:t>
      </w:r>
      <w:r>
        <w:rPr>
          <w:rFonts w:ascii="宋体" w:eastAsia="宋体" w:hAnsi="宋体"/>
        </w:rPr>
        <w:t>注射液原研产品</w:t>
      </w:r>
      <w:r w:rsidR="00BC0515">
        <w:rPr>
          <w:rFonts w:ascii="宋体" w:eastAsia="宋体" w:hAnsi="宋体" w:hint="eastAsia"/>
        </w:rPr>
        <w:t>中国</w:t>
      </w:r>
      <w:r>
        <w:rPr>
          <w:rFonts w:ascii="宋体" w:eastAsia="宋体" w:hAnsi="宋体"/>
        </w:rPr>
        <w:t>专利已于</w:t>
      </w:r>
      <w:r>
        <w:rPr>
          <w:rFonts w:ascii="宋体" w:eastAsia="宋体" w:hAnsi="宋体" w:hint="eastAsia"/>
        </w:rPr>
        <w:t>201</w:t>
      </w:r>
      <w:r w:rsidR="00BC0515">
        <w:rPr>
          <w:rFonts w:ascii="宋体" w:eastAsia="宋体" w:hAnsi="宋体"/>
        </w:rPr>
        <w:t>3</w:t>
      </w:r>
      <w:r>
        <w:rPr>
          <w:rFonts w:ascii="宋体" w:eastAsia="宋体" w:hAnsi="宋体"/>
        </w:rPr>
        <w:t>年到期，</w:t>
      </w:r>
      <w:r>
        <w:rPr>
          <w:rFonts w:ascii="宋体" w:eastAsia="宋体" w:hAnsi="宋体" w:hint="eastAsia"/>
        </w:rPr>
        <w:t>多家</w:t>
      </w:r>
      <w:r>
        <w:rPr>
          <w:rFonts w:ascii="宋体" w:eastAsia="宋体" w:hAnsi="宋体"/>
        </w:rPr>
        <w:t>国内外</w:t>
      </w:r>
      <w:r>
        <w:rPr>
          <w:rFonts w:ascii="宋体" w:eastAsia="宋体" w:hAnsi="宋体" w:hint="eastAsia"/>
        </w:rPr>
        <w:t>制药</w:t>
      </w:r>
      <w:r>
        <w:rPr>
          <w:rFonts w:ascii="宋体" w:eastAsia="宋体" w:hAnsi="宋体"/>
        </w:rPr>
        <w:t>企业加入其生物</w:t>
      </w:r>
      <w:proofErr w:type="gramStart"/>
      <w:r>
        <w:rPr>
          <w:rFonts w:ascii="宋体" w:eastAsia="宋体" w:hAnsi="宋体"/>
        </w:rPr>
        <w:t>类似药</w:t>
      </w:r>
      <w:proofErr w:type="gramEnd"/>
      <w:r>
        <w:rPr>
          <w:rFonts w:ascii="宋体" w:eastAsia="宋体" w:hAnsi="宋体"/>
        </w:rPr>
        <w:t>的研发</w:t>
      </w:r>
      <w:r w:rsidR="00F140B9">
        <w:rPr>
          <w:rFonts w:ascii="宋体" w:eastAsia="宋体" w:hAnsi="宋体" w:hint="eastAsia"/>
        </w:rPr>
        <w:t>。</w:t>
      </w:r>
      <w:r w:rsidR="00F140B9" w:rsidRPr="00F140B9">
        <w:rPr>
          <w:rFonts w:ascii="宋体" w:eastAsia="宋体" w:hAnsi="宋体"/>
        </w:rPr>
        <w:t>国家药品监督管理局</w:t>
      </w:r>
      <w:r w:rsidR="00F140B9">
        <w:rPr>
          <w:rFonts w:ascii="宋体" w:eastAsia="宋体" w:hAnsi="宋体" w:hint="eastAsia"/>
        </w:rPr>
        <w:t>（NMPA）于</w:t>
      </w:r>
      <w:r w:rsidR="00F140B9" w:rsidRPr="00F140B9">
        <w:rPr>
          <w:rFonts w:ascii="宋体" w:eastAsia="宋体" w:hAnsi="宋体"/>
        </w:rPr>
        <w:t>2019年2月</w:t>
      </w:r>
      <w:r w:rsidR="00F140B9">
        <w:rPr>
          <w:rFonts w:ascii="宋体" w:eastAsia="宋体" w:hAnsi="宋体" w:hint="eastAsia"/>
        </w:rPr>
        <w:t>批准</w:t>
      </w:r>
      <w:r w:rsidR="00F140B9">
        <w:rPr>
          <w:rFonts w:ascii="宋体" w:eastAsia="宋体" w:hAnsi="宋体"/>
        </w:rPr>
        <w:t>上市的</w:t>
      </w:r>
      <w:r w:rsidR="0095049B" w:rsidRPr="00F140B9">
        <w:rPr>
          <w:rFonts w:ascii="宋体" w:eastAsia="宋体" w:hAnsi="宋体" w:hint="eastAsia"/>
        </w:rPr>
        <w:t>上海</w:t>
      </w:r>
      <w:proofErr w:type="gramStart"/>
      <w:r w:rsidR="0095049B" w:rsidRPr="00F140B9">
        <w:rPr>
          <w:rFonts w:ascii="宋体" w:eastAsia="宋体" w:hAnsi="宋体" w:hint="eastAsia"/>
        </w:rPr>
        <w:t>复宏汉霖</w:t>
      </w:r>
      <w:proofErr w:type="gramEnd"/>
      <w:r w:rsidR="0095049B" w:rsidRPr="00F140B9">
        <w:rPr>
          <w:rFonts w:ascii="宋体" w:eastAsia="宋体" w:hAnsi="宋体" w:hint="eastAsia"/>
        </w:rPr>
        <w:t>生物制药有限公司</w:t>
      </w:r>
      <w:r w:rsidRPr="00F140B9">
        <w:rPr>
          <w:rFonts w:ascii="宋体" w:eastAsia="宋体" w:hAnsi="宋体"/>
        </w:rPr>
        <w:t>的</w:t>
      </w:r>
      <w:proofErr w:type="gramStart"/>
      <w:r w:rsidR="0095049B" w:rsidRPr="00F140B9">
        <w:rPr>
          <w:rFonts w:ascii="宋体" w:eastAsia="宋体" w:hAnsi="宋体" w:hint="eastAsia"/>
        </w:rPr>
        <w:t>利妥昔单</w:t>
      </w:r>
      <w:proofErr w:type="gramEnd"/>
      <w:r w:rsidR="0095049B" w:rsidRPr="00F140B9">
        <w:rPr>
          <w:rFonts w:ascii="宋体" w:eastAsia="宋体" w:hAnsi="宋体" w:hint="eastAsia"/>
        </w:rPr>
        <w:t>抗注射液（汉利康</w:t>
      </w:r>
      <w:r w:rsidR="0095049B" w:rsidRPr="00F140B9">
        <w:rPr>
          <w:rFonts w:ascii="宋体" w:eastAsia="宋体" w:hAnsi="宋体"/>
        </w:rPr>
        <w:t>®</w:t>
      </w:r>
      <w:r w:rsidR="0095049B" w:rsidRPr="00F140B9">
        <w:rPr>
          <w:rFonts w:ascii="宋体" w:eastAsia="宋体" w:hAnsi="宋体" w:hint="eastAsia"/>
        </w:rPr>
        <w:t>）</w:t>
      </w:r>
      <w:r w:rsidRPr="00F140B9">
        <w:rPr>
          <w:rFonts w:ascii="宋体" w:eastAsia="宋体" w:hAnsi="宋体" w:hint="eastAsia"/>
        </w:rPr>
        <w:t>，</w:t>
      </w:r>
      <w:r>
        <w:rPr>
          <w:rFonts w:ascii="宋体" w:eastAsia="宋体" w:hAnsi="宋体"/>
        </w:rPr>
        <w:t>为国内首个获批的</w:t>
      </w:r>
      <w:proofErr w:type="gramStart"/>
      <w:r>
        <w:rPr>
          <w:rFonts w:ascii="宋体" w:eastAsia="宋体" w:hAnsi="宋体"/>
        </w:rPr>
        <w:t>利妥昔单抗生物类似药</w:t>
      </w:r>
      <w:proofErr w:type="gramEnd"/>
      <w:r>
        <w:rPr>
          <w:rFonts w:ascii="宋体" w:eastAsia="宋体" w:hAnsi="宋体"/>
        </w:rPr>
        <w:t>。</w:t>
      </w:r>
    </w:p>
    <w:p w14:paraId="58B34809" w14:textId="77777777" w:rsidR="0096753E" w:rsidRDefault="00F140B9">
      <w:pPr>
        <w:spacing w:line="360" w:lineRule="auto"/>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为</w:t>
      </w:r>
      <w:r>
        <w:rPr>
          <w:rFonts w:ascii="宋体" w:eastAsia="宋体" w:hAnsi="宋体" w:cs="Times New Roman"/>
          <w:sz w:val="24"/>
          <w:szCs w:val="24"/>
        </w:rPr>
        <w:t>进一步明确技术审评标准，提高企业研发效率，</w:t>
      </w:r>
      <w:r w:rsidR="00E462BE">
        <w:rPr>
          <w:rFonts w:ascii="宋体" w:eastAsia="宋体" w:hAnsi="宋体" w:cs="Times New Roman"/>
          <w:sz w:val="24"/>
          <w:szCs w:val="24"/>
        </w:rPr>
        <w:t>本文在</w:t>
      </w:r>
      <w:r w:rsidR="00E462BE">
        <w:rPr>
          <w:rFonts w:ascii="宋体" w:eastAsia="宋体" w:hAnsi="宋体" w:cs="Times New Roman" w:hint="eastAsia"/>
          <w:sz w:val="24"/>
          <w:szCs w:val="24"/>
        </w:rPr>
        <w:t>原</w:t>
      </w:r>
      <w:r w:rsidR="00E462BE">
        <w:rPr>
          <w:rFonts w:ascii="宋体" w:eastAsia="宋体" w:hAnsi="宋体" w:cs="Times New Roman"/>
          <w:sz w:val="24"/>
          <w:szCs w:val="24"/>
        </w:rPr>
        <w:t>国家食品药品监督管理总局已发布的《生物类似药研发与评价技术指导原则（试行）》基础上</w:t>
      </w:r>
      <w:r w:rsidR="00E462BE">
        <w:rPr>
          <w:rFonts w:ascii="宋体" w:eastAsia="宋体" w:hAnsi="宋体" w:cs="Times New Roman" w:hint="eastAsia"/>
          <w:sz w:val="24"/>
          <w:szCs w:val="24"/>
        </w:rPr>
        <w:t>（以下简称“指导原则”）</w:t>
      </w:r>
      <w:r w:rsidR="00E462BE" w:rsidRPr="002A4B9A">
        <w:rPr>
          <w:rFonts w:ascii="宋体" w:eastAsia="宋体" w:hAnsi="宋体" w:cs="Times New Roman" w:hint="eastAsia"/>
          <w:sz w:val="24"/>
          <w:szCs w:val="24"/>
          <w:vertAlign w:val="superscript"/>
        </w:rPr>
        <w:t>[2]</w:t>
      </w:r>
      <w:r w:rsidR="00E462BE">
        <w:rPr>
          <w:rFonts w:ascii="宋体" w:eastAsia="宋体" w:hAnsi="宋体" w:cs="Times New Roman"/>
          <w:sz w:val="24"/>
          <w:szCs w:val="24"/>
        </w:rPr>
        <w:t>，结合</w:t>
      </w:r>
      <w:proofErr w:type="gramStart"/>
      <w:r w:rsidR="00E462BE">
        <w:rPr>
          <w:rFonts w:ascii="宋体" w:eastAsia="宋体" w:hAnsi="宋体" w:cs="Times New Roman" w:hint="eastAsia"/>
          <w:sz w:val="24"/>
          <w:szCs w:val="24"/>
        </w:rPr>
        <w:t>利妥昔</w:t>
      </w:r>
      <w:r w:rsidR="00E462BE">
        <w:rPr>
          <w:rFonts w:ascii="宋体" w:eastAsia="宋体" w:hAnsi="宋体" w:cs="Times New Roman"/>
          <w:sz w:val="24"/>
          <w:szCs w:val="24"/>
        </w:rPr>
        <w:t>单</w:t>
      </w:r>
      <w:proofErr w:type="gramEnd"/>
      <w:r w:rsidR="00E462BE">
        <w:rPr>
          <w:rFonts w:ascii="宋体" w:eastAsia="宋体" w:hAnsi="宋体" w:cs="Times New Roman"/>
          <w:sz w:val="24"/>
          <w:szCs w:val="24"/>
        </w:rPr>
        <w:t>抗的特点，</w:t>
      </w:r>
      <w:r w:rsidR="00E462BE">
        <w:rPr>
          <w:rFonts w:ascii="宋体" w:eastAsia="宋体" w:hAnsi="宋体" w:cs="Times New Roman" w:hint="eastAsia"/>
          <w:sz w:val="24"/>
          <w:szCs w:val="24"/>
        </w:rPr>
        <w:t>重点</w:t>
      </w:r>
      <w:r w:rsidR="00E462BE">
        <w:rPr>
          <w:rFonts w:ascii="宋体" w:eastAsia="宋体" w:hAnsi="宋体" w:cs="Times New Roman"/>
          <w:sz w:val="24"/>
          <w:szCs w:val="24"/>
        </w:rPr>
        <w:t>探讨</w:t>
      </w:r>
      <w:r w:rsidR="00E462BE">
        <w:rPr>
          <w:rFonts w:ascii="宋体" w:eastAsia="宋体" w:hAnsi="宋体" w:cs="Times New Roman" w:hint="eastAsia"/>
          <w:sz w:val="24"/>
          <w:szCs w:val="24"/>
        </w:rPr>
        <w:t>当前</w:t>
      </w:r>
      <w:r w:rsidR="00E462BE">
        <w:rPr>
          <w:rFonts w:ascii="宋体" w:eastAsia="宋体" w:hAnsi="宋体" w:cs="Times New Roman"/>
          <w:sz w:val="24"/>
          <w:szCs w:val="24"/>
        </w:rPr>
        <w:t>普遍关注的临床研究策略和</w:t>
      </w:r>
      <w:r w:rsidR="00E462BE">
        <w:rPr>
          <w:rFonts w:ascii="宋体" w:eastAsia="宋体" w:hAnsi="宋体" w:cs="Times New Roman" w:hint="eastAsia"/>
          <w:sz w:val="24"/>
          <w:szCs w:val="24"/>
        </w:rPr>
        <w:t>临床</w:t>
      </w:r>
      <w:r w:rsidR="00E462BE">
        <w:rPr>
          <w:rFonts w:ascii="宋体" w:eastAsia="宋体" w:hAnsi="宋体" w:cs="Times New Roman"/>
          <w:sz w:val="24"/>
          <w:szCs w:val="24"/>
        </w:rPr>
        <w:t>试验设计问题，以期为</w:t>
      </w:r>
      <w:proofErr w:type="gramStart"/>
      <w:r w:rsidR="00E462BE">
        <w:rPr>
          <w:rFonts w:ascii="宋体" w:eastAsia="宋体" w:hAnsi="宋体" w:cs="Times New Roman" w:hint="eastAsia"/>
          <w:sz w:val="24"/>
          <w:szCs w:val="24"/>
        </w:rPr>
        <w:t>国内利妥昔</w:t>
      </w:r>
      <w:r w:rsidR="00E462BE">
        <w:rPr>
          <w:rFonts w:ascii="宋体" w:eastAsia="宋体" w:hAnsi="宋体" w:cs="Times New Roman"/>
          <w:sz w:val="24"/>
          <w:szCs w:val="24"/>
        </w:rPr>
        <w:t>单抗生物类似药</w:t>
      </w:r>
      <w:proofErr w:type="gramEnd"/>
      <w:r w:rsidR="00E462BE">
        <w:rPr>
          <w:rFonts w:ascii="宋体" w:eastAsia="宋体" w:hAnsi="宋体" w:cs="Times New Roman"/>
          <w:sz w:val="24"/>
          <w:szCs w:val="24"/>
        </w:rPr>
        <w:t>的临床研发</w:t>
      </w:r>
      <w:r w:rsidR="00E462BE">
        <w:rPr>
          <w:rFonts w:ascii="宋体" w:eastAsia="宋体" w:hAnsi="宋体" w:cs="Times New Roman"/>
          <w:sz w:val="24"/>
          <w:szCs w:val="24"/>
        </w:rPr>
        <w:lastRenderedPageBreak/>
        <w:t>提供</w:t>
      </w:r>
      <w:r w:rsidR="00E462BE">
        <w:rPr>
          <w:rFonts w:ascii="宋体" w:eastAsia="宋体" w:hAnsi="宋体" w:cs="Times New Roman" w:hint="eastAsia"/>
          <w:sz w:val="24"/>
          <w:szCs w:val="24"/>
        </w:rPr>
        <w:t>参考</w:t>
      </w:r>
      <w:r w:rsidR="00E462BE">
        <w:rPr>
          <w:rFonts w:ascii="宋体" w:eastAsia="宋体" w:hAnsi="宋体" w:cs="Times New Roman"/>
          <w:sz w:val="24"/>
          <w:szCs w:val="24"/>
        </w:rPr>
        <w:t>。</w:t>
      </w:r>
    </w:p>
    <w:p w14:paraId="70DF6299" w14:textId="77777777" w:rsidR="0096753E" w:rsidRDefault="00E462BE">
      <w:pPr>
        <w:spacing w:line="360" w:lineRule="auto"/>
        <w:ind w:firstLineChars="200" w:firstLine="482"/>
        <w:rPr>
          <w:rFonts w:ascii="宋体" w:eastAsia="宋体" w:hAnsi="宋体" w:cs="Times New Roman"/>
          <w:b/>
          <w:sz w:val="24"/>
          <w:szCs w:val="24"/>
        </w:rPr>
      </w:pPr>
      <w:r w:rsidRPr="00F140B9">
        <w:rPr>
          <w:rFonts w:ascii="宋体" w:eastAsia="宋体" w:hAnsi="宋体" w:cs="Times New Roman"/>
          <w:b/>
          <w:sz w:val="24"/>
          <w:szCs w:val="24"/>
        </w:rPr>
        <w:t>二、</w:t>
      </w:r>
      <w:proofErr w:type="gramStart"/>
      <w:r w:rsidRPr="00F140B9">
        <w:rPr>
          <w:rFonts w:ascii="宋体" w:eastAsia="宋体" w:hAnsi="宋体" w:cs="Times New Roman" w:hint="eastAsia"/>
          <w:b/>
          <w:sz w:val="24"/>
          <w:szCs w:val="24"/>
        </w:rPr>
        <w:t>利妥昔</w:t>
      </w:r>
      <w:r w:rsidRPr="00F140B9">
        <w:rPr>
          <w:rFonts w:ascii="宋体" w:eastAsia="宋体" w:hAnsi="宋体" w:cs="Times New Roman"/>
          <w:b/>
          <w:sz w:val="24"/>
          <w:szCs w:val="24"/>
        </w:rPr>
        <w:t>单</w:t>
      </w:r>
      <w:proofErr w:type="gramEnd"/>
      <w:r w:rsidRPr="00F140B9">
        <w:rPr>
          <w:rFonts w:ascii="宋体" w:eastAsia="宋体" w:hAnsi="宋体" w:cs="Times New Roman"/>
          <w:b/>
          <w:sz w:val="24"/>
          <w:szCs w:val="24"/>
        </w:rPr>
        <w:t>抗临床研究设计要点</w:t>
      </w:r>
    </w:p>
    <w:p w14:paraId="44D685E9" w14:textId="77777777" w:rsidR="0096753E" w:rsidRDefault="00E462BE">
      <w:pPr>
        <w:pStyle w:val="Default"/>
        <w:spacing w:line="360" w:lineRule="auto"/>
        <w:ind w:firstLineChars="200" w:firstLine="480"/>
        <w:contextualSpacing/>
        <w:jc w:val="both"/>
        <w:rPr>
          <w:rFonts w:hAnsi="宋体"/>
        </w:rPr>
      </w:pPr>
      <w:r>
        <w:rPr>
          <w:rFonts w:hAnsi="宋体" w:hint="eastAsia"/>
        </w:rPr>
        <w:t>临床比对研究通常从药代动力学和</w:t>
      </w:r>
      <w:r>
        <w:rPr>
          <w:rFonts w:hAnsi="宋体" w:cs="Times New Roman"/>
        </w:rPr>
        <w:t>/</w:t>
      </w:r>
      <w:r>
        <w:rPr>
          <w:rFonts w:hAnsi="宋体" w:hint="eastAsia"/>
        </w:rPr>
        <w:t>或药效学比对试验研究开始，根据其相似性评价结果再考虑后续开展临床有效性比对试验。研究设计应当以证明候选药与原研药的相似性为目的，进行科学合理的研究设计，在有合理科学依据的前提下，尽可能的简化研究，降低成本。当前国内外</w:t>
      </w:r>
      <w:proofErr w:type="gramStart"/>
      <w:r>
        <w:rPr>
          <w:rFonts w:hAnsi="宋体" w:hint="eastAsia"/>
        </w:rPr>
        <w:t>利妥昔单抗生物类似药</w:t>
      </w:r>
      <w:proofErr w:type="gramEnd"/>
      <w:r>
        <w:rPr>
          <w:rFonts w:hAnsi="宋体" w:hint="eastAsia"/>
        </w:rPr>
        <w:t>的临床研发多为一项药代动力学比对研究和一项临床安全有效性比对研究。</w:t>
      </w:r>
    </w:p>
    <w:p w14:paraId="74DC1F12" w14:textId="77777777" w:rsidR="0096753E" w:rsidRPr="002A4B9A" w:rsidRDefault="00E462BE">
      <w:pPr>
        <w:pStyle w:val="Default"/>
        <w:spacing w:line="360" w:lineRule="auto"/>
        <w:ind w:firstLineChars="200" w:firstLine="482"/>
        <w:contextualSpacing/>
        <w:jc w:val="both"/>
        <w:rPr>
          <w:rFonts w:hAnsi="宋体" w:cs="Times New Roman"/>
          <w:b/>
        </w:rPr>
      </w:pPr>
      <w:r w:rsidRPr="002A4B9A">
        <w:rPr>
          <w:rFonts w:hAnsi="宋体" w:cs="Times New Roman"/>
          <w:b/>
        </w:rPr>
        <w:t>1、药代动力学比对研究（PK比对研究）</w:t>
      </w:r>
    </w:p>
    <w:p w14:paraId="3BA0F72A" w14:textId="231C126C" w:rsidR="0096753E" w:rsidRPr="002A4B9A" w:rsidRDefault="00E462BE">
      <w:pPr>
        <w:spacing w:line="360" w:lineRule="auto"/>
        <w:ind w:firstLineChars="200" w:firstLine="482"/>
        <w:contextualSpacing/>
        <w:rPr>
          <w:rFonts w:ascii="宋体" w:eastAsia="宋体" w:hAnsi="宋体" w:cs="宋体"/>
          <w:color w:val="000000"/>
          <w:kern w:val="0"/>
          <w:sz w:val="24"/>
          <w:szCs w:val="24"/>
        </w:rPr>
      </w:pPr>
      <w:r w:rsidRPr="002A4B9A">
        <w:rPr>
          <w:rFonts w:ascii="宋体" w:eastAsia="宋体" w:hAnsi="宋体" w:cs="宋体" w:hint="eastAsia"/>
          <w:b/>
          <w:color w:val="000000"/>
          <w:kern w:val="0"/>
          <w:sz w:val="24"/>
          <w:szCs w:val="24"/>
        </w:rPr>
        <w:t>试验设计：</w:t>
      </w:r>
      <w:proofErr w:type="gramStart"/>
      <w:r w:rsidRPr="002A4B9A">
        <w:rPr>
          <w:rFonts w:ascii="宋体" w:eastAsia="宋体" w:hAnsi="宋体" w:cs="宋体" w:hint="eastAsia"/>
          <w:color w:val="000000"/>
          <w:kern w:val="0"/>
          <w:sz w:val="24"/>
          <w:szCs w:val="24"/>
        </w:rPr>
        <w:t>利妥昔单抗</w:t>
      </w:r>
      <w:r w:rsidRPr="002A4B9A">
        <w:rPr>
          <w:rFonts w:ascii="宋体" w:eastAsia="宋体" w:hAnsi="宋体" w:cs="宋体"/>
          <w:color w:val="000000"/>
          <w:kern w:val="0"/>
          <w:sz w:val="24"/>
          <w:szCs w:val="24"/>
        </w:rPr>
        <w:t>在</w:t>
      </w:r>
      <w:proofErr w:type="gramEnd"/>
      <w:r w:rsidRPr="002A4B9A">
        <w:rPr>
          <w:rFonts w:ascii="宋体" w:eastAsia="宋体" w:hAnsi="宋体" w:cs="宋体" w:hint="eastAsia"/>
          <w:color w:val="000000"/>
          <w:kern w:val="0"/>
          <w:sz w:val="24"/>
          <w:szCs w:val="24"/>
        </w:rPr>
        <w:t>每周一次的给药方案下，单剂或多剂美罗华、单药或与</w:t>
      </w:r>
      <w:r w:rsidRPr="002A4B9A">
        <w:rPr>
          <w:rFonts w:ascii="宋体" w:eastAsia="宋体" w:hAnsi="宋体" w:cs="宋体"/>
          <w:color w:val="000000"/>
          <w:kern w:val="0"/>
          <w:sz w:val="24"/>
          <w:szCs w:val="24"/>
        </w:rPr>
        <w:t>CHOP</w:t>
      </w:r>
      <w:r w:rsidRPr="002A4B9A">
        <w:rPr>
          <w:rFonts w:ascii="宋体" w:eastAsia="宋体" w:hAnsi="宋体" w:cs="宋体" w:hint="eastAsia"/>
          <w:color w:val="000000"/>
          <w:kern w:val="0"/>
          <w:sz w:val="24"/>
          <w:szCs w:val="24"/>
        </w:rPr>
        <w:t>联合治疗的</w:t>
      </w:r>
      <w:r w:rsidRPr="002A4B9A">
        <w:rPr>
          <w:rFonts w:ascii="宋体" w:eastAsia="宋体" w:hAnsi="宋体" w:cs="宋体"/>
          <w:color w:val="000000"/>
          <w:kern w:val="0"/>
          <w:sz w:val="24"/>
          <w:szCs w:val="24"/>
        </w:rPr>
        <w:t>NHL</w:t>
      </w:r>
      <w:r w:rsidRPr="002A4B9A">
        <w:rPr>
          <w:rFonts w:ascii="宋体" w:eastAsia="宋体" w:hAnsi="宋体" w:cs="宋体" w:hint="eastAsia"/>
          <w:color w:val="000000"/>
          <w:kern w:val="0"/>
          <w:sz w:val="24"/>
          <w:szCs w:val="24"/>
        </w:rPr>
        <w:t>患者的群体药代动力学分析结果显示，</w:t>
      </w:r>
      <w:proofErr w:type="gramStart"/>
      <w:r w:rsidRPr="002A4B9A">
        <w:rPr>
          <w:rFonts w:ascii="宋体" w:eastAsia="宋体" w:hAnsi="宋体" w:cs="宋体" w:hint="eastAsia"/>
          <w:color w:val="000000"/>
          <w:kern w:val="0"/>
          <w:sz w:val="24"/>
          <w:szCs w:val="24"/>
        </w:rPr>
        <w:t>其中位终末</w:t>
      </w:r>
      <w:proofErr w:type="gramEnd"/>
      <w:r w:rsidRPr="002A4B9A">
        <w:rPr>
          <w:rFonts w:ascii="宋体" w:eastAsia="宋体" w:hAnsi="宋体" w:cs="宋体" w:hint="eastAsia"/>
          <w:color w:val="000000"/>
          <w:kern w:val="0"/>
          <w:sz w:val="24"/>
          <w:szCs w:val="24"/>
        </w:rPr>
        <w:t>消除半衰期估计值为</w:t>
      </w:r>
      <w:r w:rsidRPr="002A4B9A">
        <w:rPr>
          <w:rFonts w:ascii="宋体" w:eastAsia="宋体" w:hAnsi="宋体" w:cs="宋体"/>
          <w:color w:val="000000"/>
          <w:kern w:val="0"/>
          <w:sz w:val="24"/>
          <w:szCs w:val="24"/>
        </w:rPr>
        <w:t>22</w:t>
      </w:r>
      <w:r w:rsidRPr="002A4B9A">
        <w:rPr>
          <w:rFonts w:ascii="宋体" w:eastAsia="宋体" w:hAnsi="宋体" w:cs="宋体" w:hint="eastAsia"/>
          <w:color w:val="000000"/>
          <w:kern w:val="0"/>
          <w:sz w:val="24"/>
          <w:szCs w:val="24"/>
        </w:rPr>
        <w:t>天。建议采用随机、两</w:t>
      </w:r>
      <w:r w:rsidR="00782A71">
        <w:rPr>
          <w:rFonts w:ascii="宋体" w:eastAsia="宋体" w:hAnsi="宋体" w:cs="宋体" w:hint="eastAsia"/>
          <w:color w:val="000000"/>
          <w:kern w:val="0"/>
          <w:sz w:val="24"/>
          <w:szCs w:val="24"/>
        </w:rPr>
        <w:t>制剂</w:t>
      </w:r>
      <w:r w:rsidRPr="002A4B9A">
        <w:rPr>
          <w:rFonts w:ascii="宋体" w:eastAsia="宋体" w:hAnsi="宋体" w:cs="宋体" w:hint="eastAsia"/>
          <w:color w:val="000000"/>
          <w:kern w:val="0"/>
          <w:sz w:val="24"/>
          <w:szCs w:val="24"/>
        </w:rPr>
        <w:t>、平行试验设计。</w:t>
      </w:r>
    </w:p>
    <w:p w14:paraId="2936E964" w14:textId="77777777" w:rsidR="0096753E" w:rsidRPr="002A4B9A" w:rsidRDefault="00E462BE">
      <w:pPr>
        <w:spacing w:line="360" w:lineRule="auto"/>
        <w:ind w:firstLineChars="200" w:firstLine="480"/>
        <w:contextualSpacing/>
        <w:rPr>
          <w:rFonts w:ascii="宋体" w:eastAsia="宋体" w:hAnsi="宋体" w:cs="宋体"/>
          <w:color w:val="000000"/>
          <w:kern w:val="0"/>
          <w:sz w:val="24"/>
          <w:szCs w:val="24"/>
        </w:rPr>
      </w:pPr>
      <w:r w:rsidRPr="002A4B9A">
        <w:rPr>
          <w:rFonts w:ascii="宋体" w:eastAsia="宋体" w:hAnsi="宋体" w:cs="宋体" w:hint="eastAsia"/>
          <w:color w:val="000000"/>
          <w:kern w:val="0"/>
          <w:sz w:val="24"/>
          <w:szCs w:val="24"/>
        </w:rPr>
        <w:t>单次给药</w:t>
      </w:r>
      <w:r w:rsidRPr="002A4B9A">
        <w:rPr>
          <w:rFonts w:ascii="宋体" w:eastAsia="宋体" w:hAnsi="宋体" w:cs="宋体"/>
          <w:color w:val="000000"/>
          <w:kern w:val="0"/>
          <w:sz w:val="24"/>
          <w:szCs w:val="24"/>
        </w:rPr>
        <w:t>PK</w:t>
      </w:r>
      <w:r w:rsidRPr="002A4B9A">
        <w:rPr>
          <w:rFonts w:ascii="宋体" w:eastAsia="宋体" w:hAnsi="宋体" w:cs="宋体" w:hint="eastAsia"/>
          <w:color w:val="000000"/>
          <w:kern w:val="0"/>
          <w:sz w:val="24"/>
          <w:szCs w:val="24"/>
        </w:rPr>
        <w:t>比对研究易于比较出组间差异，因而推荐进行单次给药的</w:t>
      </w:r>
      <w:r w:rsidRPr="002A4B9A">
        <w:rPr>
          <w:rFonts w:ascii="宋体" w:eastAsia="宋体" w:hAnsi="宋体" w:cs="宋体"/>
          <w:color w:val="000000"/>
          <w:kern w:val="0"/>
          <w:sz w:val="24"/>
          <w:szCs w:val="24"/>
        </w:rPr>
        <w:t>PK</w:t>
      </w:r>
      <w:r w:rsidRPr="002A4B9A">
        <w:rPr>
          <w:rFonts w:ascii="宋体" w:eastAsia="宋体" w:hAnsi="宋体" w:cs="宋体" w:hint="eastAsia"/>
          <w:color w:val="000000"/>
          <w:kern w:val="0"/>
          <w:sz w:val="24"/>
          <w:szCs w:val="24"/>
        </w:rPr>
        <w:t>比对研究。建议在完成单次给药</w:t>
      </w:r>
      <w:r w:rsidRPr="002A4B9A">
        <w:rPr>
          <w:rFonts w:ascii="宋体" w:eastAsia="宋体" w:hAnsi="宋体" w:cs="宋体"/>
          <w:color w:val="000000"/>
          <w:kern w:val="0"/>
          <w:sz w:val="24"/>
          <w:szCs w:val="24"/>
        </w:rPr>
        <w:t>PK</w:t>
      </w:r>
      <w:r w:rsidRPr="002A4B9A">
        <w:rPr>
          <w:rFonts w:ascii="宋体" w:eastAsia="宋体" w:hAnsi="宋体" w:cs="宋体" w:hint="eastAsia"/>
          <w:color w:val="000000"/>
          <w:kern w:val="0"/>
          <w:sz w:val="24"/>
          <w:szCs w:val="24"/>
        </w:rPr>
        <w:t>比对研究判定相似性后，在开展临床有效性比对研究期间，同时考察多次给药的</w:t>
      </w:r>
      <w:r w:rsidRPr="002A4B9A">
        <w:rPr>
          <w:rFonts w:ascii="宋体" w:eastAsia="宋体" w:hAnsi="宋体" w:cs="宋体"/>
          <w:color w:val="000000"/>
          <w:kern w:val="0"/>
          <w:sz w:val="24"/>
          <w:szCs w:val="24"/>
        </w:rPr>
        <w:t>PK</w:t>
      </w:r>
      <w:r w:rsidRPr="002A4B9A">
        <w:rPr>
          <w:rFonts w:ascii="宋体" w:eastAsia="宋体" w:hAnsi="宋体" w:cs="宋体" w:hint="eastAsia"/>
          <w:color w:val="000000"/>
          <w:kern w:val="0"/>
          <w:sz w:val="24"/>
          <w:szCs w:val="24"/>
        </w:rPr>
        <w:t>特征。免疫原性的评价应当贯穿在整个临床比对研究中。</w:t>
      </w:r>
    </w:p>
    <w:p w14:paraId="3AA460B8" w14:textId="2612EAC4" w:rsidR="0096753E" w:rsidRPr="002A4B9A" w:rsidRDefault="00E462BE">
      <w:pPr>
        <w:spacing w:line="360" w:lineRule="auto"/>
        <w:ind w:firstLineChars="200" w:firstLine="482"/>
        <w:contextualSpacing/>
        <w:rPr>
          <w:rFonts w:ascii="宋体" w:eastAsia="宋体" w:hAnsi="宋体"/>
          <w:sz w:val="24"/>
          <w:szCs w:val="24"/>
        </w:rPr>
      </w:pPr>
      <w:r w:rsidRPr="002A4B9A">
        <w:rPr>
          <w:rFonts w:ascii="宋体" w:eastAsia="宋体" w:hAnsi="宋体" w:cs="宋体" w:hint="eastAsia"/>
          <w:b/>
          <w:color w:val="000000"/>
          <w:kern w:val="0"/>
          <w:sz w:val="24"/>
          <w:szCs w:val="24"/>
        </w:rPr>
        <w:t>研究人群：</w:t>
      </w:r>
      <w:r w:rsidRPr="002A4B9A">
        <w:rPr>
          <w:rFonts w:ascii="宋体" w:eastAsia="宋体" w:hAnsi="宋体" w:cs="宋体" w:hint="eastAsia"/>
          <w:color w:val="000000"/>
          <w:kern w:val="0"/>
          <w:sz w:val="24"/>
          <w:szCs w:val="24"/>
        </w:rPr>
        <w:t>健康志愿者是较为理想的均质性受试人群，能更好的反映出候选药与原研</w:t>
      </w:r>
      <w:proofErr w:type="gramStart"/>
      <w:r w:rsidRPr="002A4B9A">
        <w:rPr>
          <w:rFonts w:ascii="宋体" w:eastAsia="宋体" w:hAnsi="宋体" w:cs="宋体" w:hint="eastAsia"/>
          <w:color w:val="000000"/>
          <w:kern w:val="0"/>
          <w:sz w:val="24"/>
          <w:szCs w:val="24"/>
        </w:rPr>
        <w:t>药之间</w:t>
      </w:r>
      <w:proofErr w:type="gramEnd"/>
      <w:r w:rsidRPr="002A4B9A">
        <w:rPr>
          <w:rFonts w:ascii="宋体" w:eastAsia="宋体" w:hAnsi="宋体" w:cs="宋体" w:hint="eastAsia"/>
          <w:color w:val="000000"/>
          <w:kern w:val="0"/>
          <w:sz w:val="24"/>
          <w:szCs w:val="24"/>
        </w:rPr>
        <w:t>的</w:t>
      </w:r>
      <w:r w:rsidRPr="002A4B9A">
        <w:rPr>
          <w:rFonts w:ascii="宋体" w:eastAsia="宋体" w:hAnsi="宋体" w:cs="宋体"/>
          <w:color w:val="000000"/>
          <w:kern w:val="0"/>
          <w:sz w:val="24"/>
          <w:szCs w:val="24"/>
        </w:rPr>
        <w:t>PK</w:t>
      </w:r>
      <w:r w:rsidRPr="002A4B9A">
        <w:rPr>
          <w:rFonts w:ascii="宋体" w:eastAsia="宋体" w:hAnsi="宋体" w:cs="宋体" w:hint="eastAsia"/>
          <w:color w:val="000000"/>
          <w:kern w:val="0"/>
          <w:sz w:val="24"/>
          <w:szCs w:val="24"/>
        </w:rPr>
        <w:t>差异。</w:t>
      </w:r>
      <w:proofErr w:type="gramStart"/>
      <w:r w:rsidRPr="002A4B9A">
        <w:rPr>
          <w:rFonts w:ascii="宋体" w:eastAsia="宋体" w:hAnsi="宋体" w:cs="宋体" w:hint="eastAsia"/>
          <w:color w:val="000000"/>
          <w:kern w:val="0"/>
          <w:sz w:val="24"/>
          <w:szCs w:val="24"/>
        </w:rPr>
        <w:t>利妥昔单抗虽然</w:t>
      </w:r>
      <w:proofErr w:type="gramEnd"/>
      <w:r w:rsidRPr="002A4B9A">
        <w:rPr>
          <w:rFonts w:ascii="宋体" w:eastAsia="宋体" w:hAnsi="宋体" w:cs="宋体" w:hint="eastAsia"/>
          <w:color w:val="000000"/>
          <w:kern w:val="0"/>
          <w:sz w:val="24"/>
          <w:szCs w:val="24"/>
        </w:rPr>
        <w:t>是非细胞毒性药物，但</w:t>
      </w:r>
      <w:r w:rsidRPr="002A4B9A">
        <w:rPr>
          <w:rFonts w:ascii="宋体" w:eastAsia="宋体" w:hAnsi="宋体" w:cs="宋体"/>
          <w:color w:val="000000"/>
          <w:kern w:val="0"/>
          <w:sz w:val="24"/>
          <w:szCs w:val="24"/>
        </w:rPr>
        <w:t>考虑其</w:t>
      </w:r>
      <w:r w:rsidRPr="002A4B9A">
        <w:rPr>
          <w:rFonts w:ascii="宋体" w:eastAsia="宋体" w:hAnsi="宋体" w:cs="宋体" w:hint="eastAsia"/>
          <w:color w:val="000000"/>
          <w:kern w:val="0"/>
          <w:sz w:val="24"/>
          <w:szCs w:val="24"/>
        </w:rPr>
        <w:t>会降低B淋巴</w:t>
      </w:r>
      <w:r w:rsidRPr="002A4B9A">
        <w:rPr>
          <w:rFonts w:ascii="宋体" w:eastAsia="宋体" w:hAnsi="宋体" w:cs="宋体"/>
          <w:color w:val="000000"/>
          <w:kern w:val="0"/>
          <w:sz w:val="24"/>
          <w:szCs w:val="24"/>
        </w:rPr>
        <w:t>细胞而对</w:t>
      </w:r>
      <w:r w:rsidRPr="002A4B9A">
        <w:rPr>
          <w:rFonts w:ascii="宋体" w:eastAsia="宋体" w:hAnsi="宋体" w:cs="宋体" w:hint="eastAsia"/>
          <w:color w:val="000000"/>
          <w:kern w:val="0"/>
          <w:sz w:val="24"/>
          <w:szCs w:val="24"/>
        </w:rPr>
        <w:t>健康</w:t>
      </w:r>
      <w:r w:rsidRPr="002A4B9A">
        <w:rPr>
          <w:rFonts w:ascii="宋体" w:eastAsia="宋体" w:hAnsi="宋体" w:cs="宋体"/>
          <w:color w:val="000000"/>
          <w:kern w:val="0"/>
          <w:sz w:val="24"/>
          <w:szCs w:val="24"/>
        </w:rPr>
        <w:t>人</w:t>
      </w:r>
      <w:r w:rsidRPr="002A4B9A">
        <w:rPr>
          <w:rFonts w:ascii="宋体" w:eastAsia="宋体" w:hAnsi="宋体" w:cs="宋体" w:hint="eastAsia"/>
          <w:color w:val="000000"/>
          <w:kern w:val="0"/>
          <w:sz w:val="24"/>
          <w:szCs w:val="24"/>
        </w:rPr>
        <w:t>免疫</w:t>
      </w:r>
      <w:r w:rsidRPr="002A4B9A">
        <w:rPr>
          <w:rFonts w:ascii="宋体" w:eastAsia="宋体" w:hAnsi="宋体" w:cs="宋体"/>
          <w:color w:val="000000"/>
          <w:kern w:val="0"/>
          <w:sz w:val="24"/>
          <w:szCs w:val="24"/>
        </w:rPr>
        <w:t>功能造成影响，因此</w:t>
      </w:r>
      <w:r w:rsidRPr="002A4B9A">
        <w:rPr>
          <w:rFonts w:ascii="宋体" w:eastAsia="宋体" w:hAnsi="宋体" w:cs="宋体" w:hint="eastAsia"/>
          <w:color w:val="000000"/>
          <w:kern w:val="0"/>
          <w:sz w:val="24"/>
          <w:szCs w:val="24"/>
        </w:rPr>
        <w:t>通常</w:t>
      </w:r>
      <w:r w:rsidRPr="002A4B9A">
        <w:rPr>
          <w:rFonts w:ascii="宋体" w:eastAsia="宋体" w:hAnsi="宋体" w:cs="宋体"/>
          <w:color w:val="000000"/>
          <w:kern w:val="0"/>
          <w:sz w:val="24"/>
          <w:szCs w:val="24"/>
        </w:rPr>
        <w:t>选择</w:t>
      </w:r>
      <w:r w:rsidRPr="002A4B9A">
        <w:rPr>
          <w:rFonts w:ascii="宋体" w:eastAsia="宋体" w:hAnsi="宋体"/>
          <w:sz w:val="24"/>
          <w:szCs w:val="24"/>
        </w:rPr>
        <w:t>CD20阳性B细胞淋巴</w:t>
      </w:r>
      <w:proofErr w:type="gramStart"/>
      <w:r w:rsidRPr="002A4B9A">
        <w:rPr>
          <w:rFonts w:ascii="宋体" w:eastAsia="宋体" w:hAnsi="宋体"/>
          <w:sz w:val="24"/>
          <w:szCs w:val="24"/>
        </w:rPr>
        <w:t>瘤</w:t>
      </w:r>
      <w:r w:rsidRPr="002A4B9A">
        <w:rPr>
          <w:rFonts w:ascii="宋体" w:eastAsia="宋体" w:hAnsi="宋体" w:hint="eastAsia"/>
          <w:sz w:val="24"/>
          <w:szCs w:val="24"/>
        </w:rPr>
        <w:t>并</w:t>
      </w:r>
      <w:r w:rsidRPr="002A4B9A">
        <w:rPr>
          <w:rFonts w:ascii="宋体" w:eastAsia="宋体" w:hAnsi="宋体"/>
          <w:sz w:val="24"/>
          <w:szCs w:val="24"/>
        </w:rPr>
        <w:t>经标准</w:t>
      </w:r>
      <w:proofErr w:type="gramEnd"/>
      <w:r w:rsidRPr="002A4B9A">
        <w:rPr>
          <w:rFonts w:ascii="宋体" w:eastAsia="宋体" w:hAnsi="宋体"/>
          <w:sz w:val="24"/>
          <w:szCs w:val="24"/>
        </w:rPr>
        <w:t>治疗按</w:t>
      </w:r>
      <w:r w:rsidRPr="002A4B9A">
        <w:rPr>
          <w:rFonts w:ascii="宋体" w:eastAsia="宋体" w:hAnsi="宋体" w:cs="宋体"/>
          <w:color w:val="000000"/>
          <w:kern w:val="0"/>
          <w:sz w:val="24"/>
          <w:szCs w:val="24"/>
        </w:rPr>
        <w:t>照非霍奇金淋巴瘤国际工作组标准</w:t>
      </w:r>
      <w:r w:rsidR="00D73264">
        <w:rPr>
          <w:rFonts w:ascii="宋体" w:eastAsia="宋体" w:hAnsi="宋体" w:cs="宋体" w:hint="eastAsia"/>
          <w:color w:val="000000"/>
          <w:kern w:val="0"/>
          <w:sz w:val="24"/>
          <w:szCs w:val="24"/>
        </w:rPr>
        <w:t>评估</w:t>
      </w:r>
      <w:r w:rsidRPr="002A4B9A">
        <w:rPr>
          <w:rFonts w:ascii="宋体" w:eastAsia="宋体" w:hAnsi="宋体" w:cs="宋体"/>
          <w:color w:val="000000"/>
          <w:kern w:val="0"/>
          <w:sz w:val="24"/>
          <w:szCs w:val="24"/>
        </w:rPr>
        <w:t>达到CR/Cru</w:t>
      </w:r>
      <w:r w:rsidRPr="002A4B9A">
        <w:rPr>
          <w:rFonts w:ascii="宋体" w:eastAsia="宋体" w:hAnsi="宋体" w:cs="宋体" w:hint="eastAsia"/>
          <w:color w:val="000000"/>
          <w:kern w:val="0"/>
          <w:sz w:val="24"/>
          <w:szCs w:val="24"/>
        </w:rPr>
        <w:t>的患者开展</w:t>
      </w:r>
      <w:r w:rsidRPr="002A4B9A">
        <w:rPr>
          <w:rFonts w:ascii="宋体" w:eastAsia="宋体" w:hAnsi="宋体" w:cs="宋体"/>
          <w:color w:val="000000"/>
          <w:kern w:val="0"/>
          <w:sz w:val="24"/>
          <w:szCs w:val="24"/>
        </w:rPr>
        <w:t>PK比对研究</w:t>
      </w:r>
      <w:r w:rsidRPr="002A4B9A">
        <w:rPr>
          <w:rFonts w:ascii="宋体" w:eastAsia="宋体" w:hAnsi="宋体" w:cs="宋体" w:hint="eastAsia"/>
          <w:color w:val="000000"/>
          <w:kern w:val="0"/>
          <w:sz w:val="24"/>
          <w:szCs w:val="24"/>
        </w:rPr>
        <w:t>。</w:t>
      </w:r>
    </w:p>
    <w:p w14:paraId="4F1F3FF2" w14:textId="762D53A5" w:rsidR="0096753E" w:rsidRPr="002A4B9A" w:rsidRDefault="00E462BE">
      <w:pPr>
        <w:pStyle w:val="Default"/>
        <w:spacing w:line="360" w:lineRule="auto"/>
        <w:ind w:firstLineChars="200" w:firstLine="482"/>
        <w:contextualSpacing/>
        <w:jc w:val="both"/>
        <w:rPr>
          <w:rFonts w:hAnsi="宋体" w:cs="Times New Roman"/>
        </w:rPr>
      </w:pPr>
      <w:r w:rsidRPr="002A4B9A">
        <w:rPr>
          <w:rFonts w:hAnsi="宋体" w:hint="eastAsia"/>
          <w:b/>
        </w:rPr>
        <w:t>参照药来源:</w:t>
      </w:r>
      <w:r w:rsidRPr="002A4B9A">
        <w:rPr>
          <w:rFonts w:hAnsi="宋体" w:cs="Times New Roman" w:hint="eastAsia"/>
        </w:rPr>
        <w:t xml:space="preserve"> </w:t>
      </w:r>
      <w:r w:rsidR="00427744">
        <w:rPr>
          <w:rFonts w:hAnsi="宋体" w:cs="Times New Roman" w:hint="eastAsia"/>
        </w:rPr>
        <w:t>生</w:t>
      </w:r>
      <w:r w:rsidRPr="002A4B9A">
        <w:rPr>
          <w:rFonts w:hAnsi="宋体" w:cs="Times New Roman" w:hint="eastAsia"/>
        </w:rPr>
        <w:t>物</w:t>
      </w:r>
      <w:proofErr w:type="gramStart"/>
      <w:r w:rsidRPr="002A4B9A">
        <w:rPr>
          <w:rFonts w:hAnsi="宋体" w:cs="Times New Roman" w:hint="eastAsia"/>
        </w:rPr>
        <w:t>类似药</w:t>
      </w:r>
      <w:proofErr w:type="gramEnd"/>
      <w:r w:rsidRPr="002A4B9A">
        <w:rPr>
          <w:rFonts w:hAnsi="宋体" w:cs="Times New Roman" w:hint="eastAsia"/>
        </w:rPr>
        <w:t>临床比对研究设计应当以证明候选药与原研药的相似性为目的，进行科学合理的研究设计。</w:t>
      </w:r>
      <w:r w:rsidRPr="002A4B9A">
        <w:rPr>
          <w:rFonts w:hAnsi="宋体" w:cs="Times New Roman"/>
        </w:rPr>
        <w:t>临床研究中应</w:t>
      </w:r>
      <w:r w:rsidRPr="002A4B9A">
        <w:rPr>
          <w:rFonts w:hAnsi="宋体" w:cs="Times New Roman" w:hint="eastAsia"/>
        </w:rPr>
        <w:t>采用与国内</w:t>
      </w:r>
      <w:r w:rsidRPr="002A4B9A">
        <w:rPr>
          <w:rFonts w:hAnsi="宋体" w:cs="Times New Roman"/>
        </w:rPr>
        <w:t>进口相同</w:t>
      </w:r>
      <w:r w:rsidRPr="002A4B9A">
        <w:rPr>
          <w:rFonts w:hAnsi="宋体" w:cs="Times New Roman" w:hint="eastAsia"/>
        </w:rPr>
        <w:t>来源的原研药。如果选择其他来源的</w:t>
      </w:r>
      <w:r w:rsidRPr="002A4B9A">
        <w:rPr>
          <w:rFonts w:hAnsi="宋体" w:cs="Times New Roman"/>
        </w:rPr>
        <w:t>原研</w:t>
      </w:r>
      <w:r w:rsidRPr="002A4B9A">
        <w:rPr>
          <w:rFonts w:hAnsi="宋体" w:cs="Times New Roman" w:hint="eastAsia"/>
        </w:rPr>
        <w:t>产品</w:t>
      </w:r>
      <w:r w:rsidRPr="002A4B9A">
        <w:rPr>
          <w:rFonts w:hAnsi="宋体" w:cs="Times New Roman"/>
        </w:rPr>
        <w:t>，</w:t>
      </w:r>
      <w:r w:rsidRPr="002A4B9A">
        <w:rPr>
          <w:rFonts w:hAnsi="宋体" w:cs="Times New Roman" w:hint="eastAsia"/>
        </w:rPr>
        <w:t>应提供与国内进口</w:t>
      </w:r>
      <w:proofErr w:type="gramStart"/>
      <w:r w:rsidRPr="002A4B9A">
        <w:rPr>
          <w:rFonts w:hAnsi="宋体" w:cs="Times New Roman" w:hint="eastAsia"/>
        </w:rPr>
        <w:t>利妥昔</w:t>
      </w:r>
      <w:r w:rsidRPr="002A4B9A">
        <w:rPr>
          <w:rFonts w:hAnsi="宋体" w:cs="Times New Roman"/>
        </w:rPr>
        <w:t>单抗</w:t>
      </w:r>
      <w:r w:rsidRPr="002A4B9A">
        <w:rPr>
          <w:rFonts w:hAnsi="宋体" w:cs="Times New Roman" w:hint="eastAsia"/>
        </w:rPr>
        <w:t>原</w:t>
      </w:r>
      <w:r w:rsidRPr="002A4B9A">
        <w:rPr>
          <w:rFonts w:hAnsi="宋体" w:cs="Times New Roman"/>
        </w:rPr>
        <w:t>研</w:t>
      </w:r>
      <w:proofErr w:type="gramEnd"/>
      <w:r w:rsidRPr="002A4B9A">
        <w:rPr>
          <w:rFonts w:hAnsi="宋体" w:cs="Times New Roman"/>
        </w:rPr>
        <w:t>药的</w:t>
      </w:r>
      <w:r w:rsidRPr="002A4B9A">
        <w:rPr>
          <w:rFonts w:hAnsi="宋体" w:cs="Times New Roman" w:hint="eastAsia"/>
        </w:rPr>
        <w:t>可比性证据。</w:t>
      </w:r>
    </w:p>
    <w:p w14:paraId="7CE4FD3A" w14:textId="07B35DAD"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t>剂量及给药途径：</w:t>
      </w:r>
      <w:r w:rsidRPr="002A4B9A">
        <w:rPr>
          <w:rFonts w:hAnsi="宋体"/>
        </w:rPr>
        <w:t>原则上</w:t>
      </w:r>
      <w:r w:rsidRPr="002A4B9A">
        <w:rPr>
          <w:rFonts w:hAnsi="宋体" w:hint="eastAsia"/>
        </w:rPr>
        <w:t>，不要求对每种治疗剂量均进行PK比对研究，应选择能检测出生物</w:t>
      </w:r>
      <w:proofErr w:type="gramStart"/>
      <w:r w:rsidRPr="002A4B9A">
        <w:rPr>
          <w:rFonts w:hAnsi="宋体" w:hint="eastAsia"/>
        </w:rPr>
        <w:t>类似药</w:t>
      </w:r>
      <w:proofErr w:type="gramEnd"/>
      <w:r w:rsidRPr="002A4B9A">
        <w:rPr>
          <w:rFonts w:hAnsi="宋体" w:hint="eastAsia"/>
        </w:rPr>
        <w:t>与参照药的PK潜在差异的最敏感的剂量。当前在</w:t>
      </w:r>
      <w:proofErr w:type="gramStart"/>
      <w:r w:rsidRPr="002A4B9A">
        <w:rPr>
          <w:rFonts w:hAnsi="宋体" w:hint="eastAsia"/>
        </w:rPr>
        <w:t>研</w:t>
      </w:r>
      <w:proofErr w:type="gramEnd"/>
      <w:r w:rsidRPr="002A4B9A">
        <w:rPr>
          <w:rFonts w:hAnsi="宋体" w:hint="eastAsia"/>
        </w:rPr>
        <w:t>的产品中单次给药</w:t>
      </w:r>
      <w:r w:rsidRPr="002A4B9A">
        <w:rPr>
          <w:rFonts w:hAnsi="宋体"/>
        </w:rPr>
        <w:t>PK</w:t>
      </w:r>
      <w:r w:rsidRPr="002A4B9A">
        <w:rPr>
          <w:rFonts w:hAnsi="宋体" w:hint="eastAsia"/>
        </w:rPr>
        <w:t>比对研究中最常选取的给药剂量为</w:t>
      </w:r>
      <w:r w:rsidRPr="002A4B9A">
        <w:rPr>
          <w:rFonts w:hAnsi="宋体"/>
        </w:rPr>
        <w:t>375mg/m</w:t>
      </w:r>
      <w:r w:rsidRPr="002A4B9A">
        <w:rPr>
          <w:rFonts w:hAnsi="宋体"/>
          <w:vertAlign w:val="superscript"/>
        </w:rPr>
        <w:t>2</w:t>
      </w:r>
      <w:r w:rsidRPr="002A4B9A">
        <w:rPr>
          <w:rFonts w:hAnsi="宋体" w:hint="eastAsia"/>
        </w:rPr>
        <w:t>，为多个适应症推荐的</w:t>
      </w:r>
      <w:proofErr w:type="gramStart"/>
      <w:r w:rsidRPr="002A4B9A">
        <w:rPr>
          <w:rFonts w:hAnsi="宋体" w:hint="eastAsia"/>
        </w:rPr>
        <w:t>利妥昔单抗</w:t>
      </w:r>
      <w:r w:rsidR="00B75B62">
        <w:rPr>
          <w:rFonts w:hAnsi="宋体" w:hint="eastAsia"/>
        </w:rPr>
        <w:t>单</w:t>
      </w:r>
      <w:proofErr w:type="gramEnd"/>
      <w:r w:rsidR="00B75B62">
        <w:rPr>
          <w:rFonts w:hAnsi="宋体" w:hint="eastAsia"/>
        </w:rPr>
        <w:t>次给药</w:t>
      </w:r>
      <w:r w:rsidRPr="002A4B9A">
        <w:rPr>
          <w:rFonts w:hAnsi="宋体" w:hint="eastAsia"/>
        </w:rPr>
        <w:t>剂量</w:t>
      </w:r>
      <w:r w:rsidRPr="002A4B9A">
        <w:rPr>
          <w:rFonts w:hAnsi="宋体"/>
        </w:rPr>
        <w:t>(</w:t>
      </w:r>
      <w:r w:rsidRPr="002A4B9A">
        <w:rPr>
          <w:rFonts w:hAnsi="宋体" w:hint="eastAsia"/>
        </w:rPr>
        <w:t>见表</w:t>
      </w:r>
      <w:r w:rsidRPr="002A4B9A">
        <w:rPr>
          <w:rFonts w:hAnsi="宋体"/>
        </w:rPr>
        <w:t>1)</w:t>
      </w:r>
      <w:r w:rsidR="00815B38" w:rsidRPr="002A4B9A">
        <w:rPr>
          <w:rFonts w:hAnsi="宋体" w:hint="eastAsia"/>
        </w:rPr>
        <w:t>。给药途径选择静脉给药</w:t>
      </w:r>
      <w:r w:rsidRPr="002A4B9A">
        <w:rPr>
          <w:rFonts w:hAnsi="宋体" w:hint="eastAsia"/>
        </w:rPr>
        <w:t>。静脉给药时应注意控制输注速度，尽量使给药结束的时间一致，以避免对相似性评估造成非预期影</w:t>
      </w:r>
      <w:r w:rsidRPr="002A4B9A">
        <w:rPr>
          <w:rFonts w:hAnsi="宋体" w:hint="eastAsia"/>
        </w:rPr>
        <w:lastRenderedPageBreak/>
        <w:t>响。</w:t>
      </w:r>
    </w:p>
    <w:p w14:paraId="77D3A3DC" w14:textId="77777777"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t>终点</w:t>
      </w:r>
      <w:proofErr w:type="gramStart"/>
      <w:r w:rsidRPr="002A4B9A">
        <w:rPr>
          <w:rFonts w:hAnsi="宋体" w:hint="eastAsia"/>
          <w:b/>
        </w:rPr>
        <w:t>指标与界值</w:t>
      </w:r>
      <w:proofErr w:type="gramEnd"/>
      <w:r w:rsidRPr="002A4B9A">
        <w:rPr>
          <w:rFonts w:hAnsi="宋体" w:hint="eastAsia"/>
          <w:b/>
        </w:rPr>
        <w:t>：</w:t>
      </w:r>
      <w:r w:rsidRPr="002A4B9A">
        <w:rPr>
          <w:rFonts w:hAnsi="宋体"/>
        </w:rPr>
        <w:t>PK</w:t>
      </w:r>
      <w:r w:rsidRPr="002A4B9A">
        <w:rPr>
          <w:rFonts w:hAnsi="宋体" w:hint="eastAsia"/>
        </w:rPr>
        <w:t>比对研究主要终点指标的选择是等效性评价的关键。根据口服固体制剂的相关指导原则，</w:t>
      </w:r>
      <w:r w:rsidRPr="002A4B9A">
        <w:rPr>
          <w:rFonts w:hAnsi="宋体"/>
        </w:rPr>
        <w:t>AUC</w:t>
      </w:r>
      <w:r w:rsidRPr="00341BFF">
        <w:rPr>
          <w:rFonts w:hAnsi="宋体"/>
          <w:vertAlign w:val="subscript"/>
        </w:rPr>
        <w:t>0-∞</w:t>
      </w:r>
      <w:r w:rsidRPr="002A4B9A">
        <w:rPr>
          <w:rFonts w:hAnsi="宋体" w:hint="eastAsia"/>
        </w:rPr>
        <w:t>和</w:t>
      </w:r>
      <w:proofErr w:type="spellStart"/>
      <w:r w:rsidRPr="002A4B9A">
        <w:rPr>
          <w:rFonts w:hAnsi="宋体"/>
        </w:rPr>
        <w:t>C</w:t>
      </w:r>
      <w:r w:rsidRPr="00341BFF">
        <w:rPr>
          <w:rFonts w:hAnsi="宋体"/>
          <w:vertAlign w:val="subscript"/>
        </w:rPr>
        <w:t>max</w:t>
      </w:r>
      <w:proofErr w:type="spellEnd"/>
      <w:r w:rsidRPr="002A4B9A">
        <w:rPr>
          <w:rFonts w:hAnsi="宋体" w:hint="eastAsia"/>
        </w:rPr>
        <w:t>是判断生物等效性的主要参数</w:t>
      </w:r>
      <w:r w:rsidRPr="002A4B9A">
        <w:rPr>
          <w:rFonts w:hAnsi="宋体"/>
          <w:vertAlign w:val="superscript"/>
        </w:rPr>
        <w:t>[</w:t>
      </w:r>
      <w:r w:rsidRPr="002A4B9A">
        <w:rPr>
          <w:rFonts w:hAnsi="宋体" w:hint="eastAsia"/>
          <w:vertAlign w:val="superscript"/>
        </w:rPr>
        <w:t>3</w:t>
      </w:r>
      <w:r w:rsidRPr="002A4B9A">
        <w:rPr>
          <w:rFonts w:hAnsi="宋体"/>
          <w:vertAlign w:val="superscript"/>
        </w:rPr>
        <w:t>]</w:t>
      </w:r>
      <w:r w:rsidRPr="002A4B9A">
        <w:rPr>
          <w:rFonts w:hAnsi="宋体" w:hint="eastAsia"/>
        </w:rPr>
        <w:t>。但是在生物</w:t>
      </w:r>
      <w:proofErr w:type="gramStart"/>
      <w:r w:rsidRPr="002A4B9A">
        <w:rPr>
          <w:rFonts w:hAnsi="宋体" w:hint="eastAsia"/>
        </w:rPr>
        <w:t>类似药</w:t>
      </w:r>
      <w:proofErr w:type="gramEnd"/>
      <w:r w:rsidRPr="002A4B9A">
        <w:rPr>
          <w:rFonts w:hAnsi="宋体" w:hint="eastAsia"/>
        </w:rPr>
        <w:t>的生物等效性评价中，选择</w:t>
      </w:r>
      <w:r w:rsidRPr="002A4B9A">
        <w:rPr>
          <w:rFonts w:hAnsi="宋体"/>
        </w:rPr>
        <w:t>AUC</w:t>
      </w:r>
      <w:r w:rsidRPr="00341BFF">
        <w:rPr>
          <w:rFonts w:hAnsi="宋体"/>
          <w:vertAlign w:val="subscript"/>
        </w:rPr>
        <w:t>0-t</w:t>
      </w:r>
      <w:r w:rsidRPr="002A4B9A">
        <w:rPr>
          <w:rFonts w:hAnsi="宋体" w:hint="eastAsia"/>
        </w:rPr>
        <w:t>还是</w:t>
      </w:r>
      <w:r w:rsidRPr="002A4B9A">
        <w:rPr>
          <w:rFonts w:hAnsi="宋体"/>
        </w:rPr>
        <w:t>AUC</w:t>
      </w:r>
      <w:r w:rsidRPr="00341BFF">
        <w:rPr>
          <w:rFonts w:hAnsi="宋体"/>
          <w:vertAlign w:val="subscript"/>
        </w:rPr>
        <w:t>0-∞</w:t>
      </w:r>
      <w:r w:rsidRPr="002A4B9A">
        <w:rPr>
          <w:rFonts w:hAnsi="宋体" w:hint="eastAsia"/>
        </w:rPr>
        <w:t>作为终点，尚存在一定争议。</w:t>
      </w:r>
      <w:r w:rsidRPr="002A4B9A">
        <w:rPr>
          <w:rFonts w:hAnsi="宋体"/>
        </w:rPr>
        <w:t>FDA</w:t>
      </w:r>
      <w:r w:rsidRPr="002A4B9A">
        <w:rPr>
          <w:rFonts w:hAnsi="宋体" w:hint="eastAsia"/>
        </w:rPr>
        <w:t>在其生物</w:t>
      </w:r>
      <w:proofErr w:type="gramStart"/>
      <w:r w:rsidRPr="002A4B9A">
        <w:rPr>
          <w:rFonts w:hAnsi="宋体" w:hint="eastAsia"/>
        </w:rPr>
        <w:t>类似药指导</w:t>
      </w:r>
      <w:proofErr w:type="gramEnd"/>
      <w:r w:rsidRPr="002A4B9A">
        <w:rPr>
          <w:rFonts w:hAnsi="宋体" w:hint="eastAsia"/>
        </w:rPr>
        <w:t>原则中静脉给药倾向于选择</w:t>
      </w:r>
      <w:r w:rsidRPr="002A4B9A">
        <w:rPr>
          <w:rFonts w:hAnsi="宋体"/>
        </w:rPr>
        <w:t>AUC</w:t>
      </w:r>
      <w:r w:rsidRPr="00341BFF">
        <w:rPr>
          <w:rFonts w:hAnsi="宋体"/>
          <w:vertAlign w:val="subscript"/>
        </w:rPr>
        <w:t>0-∞</w:t>
      </w:r>
      <w:r w:rsidRPr="002A4B9A">
        <w:rPr>
          <w:rFonts w:hAnsi="宋体" w:hint="eastAsia"/>
        </w:rPr>
        <w:t>作为主要研究终点</w:t>
      </w:r>
      <w:r w:rsidRPr="002A4B9A">
        <w:rPr>
          <w:rFonts w:hAnsi="宋体" w:hint="eastAsia"/>
          <w:vertAlign w:val="superscript"/>
        </w:rPr>
        <w:t>[4]</w:t>
      </w:r>
      <w:r w:rsidRPr="002A4B9A">
        <w:rPr>
          <w:rFonts w:hAnsi="宋体" w:hint="eastAsia"/>
        </w:rPr>
        <w:t>。目前认为</w:t>
      </w:r>
      <w:r w:rsidRPr="002A4B9A">
        <w:rPr>
          <w:rFonts w:hAnsi="宋体"/>
        </w:rPr>
        <w:t>AUC</w:t>
      </w:r>
      <w:r w:rsidRPr="00341BFF">
        <w:rPr>
          <w:rFonts w:hAnsi="宋体"/>
          <w:vertAlign w:val="subscript"/>
        </w:rPr>
        <w:t>0-t</w:t>
      </w:r>
      <w:r w:rsidRPr="002A4B9A">
        <w:rPr>
          <w:rFonts w:hAnsi="宋体" w:hint="eastAsia"/>
        </w:rPr>
        <w:t>是通过实际测量值计算获得的，考虑到生物</w:t>
      </w:r>
      <w:proofErr w:type="gramStart"/>
      <w:r w:rsidRPr="002A4B9A">
        <w:rPr>
          <w:rFonts w:hAnsi="宋体" w:hint="eastAsia"/>
        </w:rPr>
        <w:t>类似药</w:t>
      </w:r>
      <w:proofErr w:type="gramEnd"/>
      <w:r w:rsidRPr="002A4B9A">
        <w:rPr>
          <w:rFonts w:hAnsi="宋体" w:hint="eastAsia"/>
        </w:rPr>
        <w:t>的药代动力学特性和实际研究过程中取血点设计的相关性，推荐</w:t>
      </w:r>
      <w:r w:rsidRPr="002A4B9A">
        <w:rPr>
          <w:rFonts w:hAnsi="宋体"/>
        </w:rPr>
        <w:t>AUC</w:t>
      </w:r>
      <w:r w:rsidRPr="00341BFF">
        <w:rPr>
          <w:rFonts w:hAnsi="宋体"/>
          <w:vertAlign w:val="subscript"/>
        </w:rPr>
        <w:t>0-t</w:t>
      </w:r>
      <w:r w:rsidRPr="002A4B9A">
        <w:rPr>
          <w:rFonts w:hAnsi="宋体" w:hint="eastAsia"/>
        </w:rPr>
        <w:t>作为主要研究终点指标。</w:t>
      </w:r>
      <w:r w:rsidRPr="002A4B9A">
        <w:rPr>
          <w:rFonts w:hAnsi="宋体"/>
        </w:rPr>
        <w:t>AUC</w:t>
      </w:r>
      <w:r w:rsidRPr="00341BFF">
        <w:rPr>
          <w:rFonts w:hAnsi="宋体"/>
          <w:vertAlign w:val="subscript"/>
        </w:rPr>
        <w:t>0-∞</w:t>
      </w:r>
      <w:r w:rsidRPr="002A4B9A">
        <w:rPr>
          <w:rFonts w:hAnsi="宋体" w:hint="eastAsia"/>
        </w:rPr>
        <w:t>和</w:t>
      </w:r>
      <w:proofErr w:type="spellStart"/>
      <w:r w:rsidRPr="002A4B9A">
        <w:rPr>
          <w:rFonts w:hAnsi="宋体"/>
        </w:rPr>
        <w:t>C</w:t>
      </w:r>
      <w:r w:rsidRPr="00341BFF">
        <w:rPr>
          <w:rFonts w:hAnsi="宋体"/>
          <w:vertAlign w:val="subscript"/>
        </w:rPr>
        <w:t>max</w:t>
      </w:r>
      <w:proofErr w:type="spellEnd"/>
      <w:r w:rsidRPr="002A4B9A">
        <w:rPr>
          <w:rFonts w:hAnsi="宋体" w:hint="eastAsia"/>
        </w:rPr>
        <w:t>作为次要研究终点重点进行比较分析。等效性界</w:t>
      </w:r>
      <w:proofErr w:type="gramStart"/>
      <w:r w:rsidRPr="002A4B9A">
        <w:rPr>
          <w:rFonts w:hAnsi="宋体" w:hint="eastAsia"/>
        </w:rPr>
        <w:t>值根据</w:t>
      </w:r>
      <w:proofErr w:type="gramEnd"/>
      <w:r w:rsidRPr="002A4B9A">
        <w:rPr>
          <w:rFonts w:hAnsi="宋体" w:hint="eastAsia"/>
        </w:rPr>
        <w:t>常规建议设定为</w:t>
      </w:r>
      <w:r w:rsidRPr="002A4B9A">
        <w:rPr>
          <w:rFonts w:hAnsi="宋体"/>
        </w:rPr>
        <w:t>80%-125%</w:t>
      </w:r>
      <w:r w:rsidRPr="002A4B9A">
        <w:rPr>
          <w:rFonts w:hAnsi="宋体" w:hint="eastAsia"/>
        </w:rPr>
        <w:t>。</w:t>
      </w:r>
    </w:p>
    <w:p w14:paraId="0D4230A0" w14:textId="4311B9B8"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t>样本量：</w:t>
      </w:r>
      <w:r w:rsidRPr="002A4B9A">
        <w:rPr>
          <w:rFonts w:hAnsi="宋体" w:hint="eastAsia"/>
        </w:rPr>
        <w:t>样本量根据设定的等效性界值（</w:t>
      </w:r>
      <w:r w:rsidRPr="002A4B9A">
        <w:rPr>
          <w:rFonts w:hAnsi="宋体" w:cs="Times New Roman"/>
        </w:rPr>
        <w:t>80%-125%</w:t>
      </w:r>
      <w:r w:rsidRPr="002A4B9A">
        <w:rPr>
          <w:rFonts w:hAnsi="宋体" w:hint="eastAsia"/>
        </w:rPr>
        <w:t>）、置信区间（</w:t>
      </w:r>
      <w:r w:rsidRPr="002A4B9A">
        <w:rPr>
          <w:rFonts w:hAnsi="宋体" w:cs="Times New Roman"/>
        </w:rPr>
        <w:t>90%</w:t>
      </w:r>
      <w:r w:rsidRPr="002A4B9A">
        <w:rPr>
          <w:rFonts w:hAnsi="宋体" w:hint="eastAsia"/>
        </w:rPr>
        <w:t>）和把握度（通常</w:t>
      </w:r>
      <w:r w:rsidRPr="002A4B9A">
        <w:rPr>
          <w:rFonts w:hAnsi="宋体" w:cs="Times New Roman"/>
        </w:rPr>
        <w:t>80%</w:t>
      </w:r>
      <w:r w:rsidRPr="002A4B9A">
        <w:rPr>
          <w:rFonts w:hAnsi="宋体" w:hint="eastAsia"/>
        </w:rPr>
        <w:t>以上）等参数计算，同时应结合原研药既往信息考虑药代参数变异情况综合考虑。</w:t>
      </w:r>
    </w:p>
    <w:p w14:paraId="3F502DC9" w14:textId="77777777" w:rsidR="0096753E" w:rsidRPr="002A4B9A" w:rsidRDefault="00E462BE">
      <w:pPr>
        <w:pStyle w:val="Default"/>
        <w:spacing w:line="360" w:lineRule="auto"/>
        <w:ind w:firstLineChars="200" w:firstLine="482"/>
        <w:contextualSpacing/>
        <w:jc w:val="both"/>
        <w:rPr>
          <w:rFonts w:hAnsi="宋体" w:cs="Times New Roman"/>
          <w:b/>
        </w:rPr>
      </w:pPr>
      <w:r w:rsidRPr="002A4B9A">
        <w:rPr>
          <w:rFonts w:hAnsi="宋体" w:cs="Times New Roman"/>
          <w:b/>
        </w:rPr>
        <w:t>2</w:t>
      </w:r>
      <w:r w:rsidRPr="002A4B9A">
        <w:rPr>
          <w:rFonts w:hAnsi="宋体" w:cs="Times New Roman" w:hint="eastAsia"/>
          <w:b/>
        </w:rPr>
        <w:t>、有效性比对研究</w:t>
      </w:r>
    </w:p>
    <w:p w14:paraId="01F952B0" w14:textId="77777777"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t>试验设计：</w:t>
      </w:r>
      <w:r w:rsidRPr="002A4B9A">
        <w:rPr>
          <w:rFonts w:hAnsi="宋体" w:hint="eastAsia"/>
        </w:rPr>
        <w:t>临床有效性比对研究的目的是证明与参照药临床疗效的相似</w:t>
      </w:r>
      <w:r w:rsidR="00526A49">
        <w:rPr>
          <w:rFonts w:hAnsi="宋体" w:hint="eastAsia"/>
        </w:rPr>
        <w:t>性</w:t>
      </w:r>
      <w:r w:rsidRPr="002A4B9A">
        <w:rPr>
          <w:rFonts w:hAnsi="宋体" w:hint="eastAsia"/>
        </w:rPr>
        <w:t>，因此，应选择最易检测出药物相关差异的最敏感患者人群和临床终点，同时控制与患者和疾病相关的因素至最小化。研究应以原研药为对照，进行随机、双盲、平行对照设计，推荐采用等效性设计。</w:t>
      </w:r>
    </w:p>
    <w:p w14:paraId="54E5D52C" w14:textId="77777777"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t>研究人群：</w:t>
      </w:r>
      <w:r w:rsidRPr="002A4B9A">
        <w:rPr>
          <w:rFonts w:hAnsi="宋体" w:hint="eastAsia"/>
        </w:rPr>
        <w:t>应基于参照药已获得临床试验数据和获批适应症选择最敏感的均质患者人群（疾病严重程度和既往治疗线数不同的患者，预期对研究药物产生的应答也不同，增加研究的变异度）。</w:t>
      </w:r>
    </w:p>
    <w:p w14:paraId="102FCB69" w14:textId="77777777" w:rsidR="0096753E" w:rsidRPr="002A4B9A" w:rsidRDefault="00E462BE">
      <w:pPr>
        <w:pStyle w:val="Default"/>
        <w:spacing w:line="360" w:lineRule="auto"/>
        <w:ind w:firstLineChars="200" w:firstLine="480"/>
        <w:contextualSpacing/>
        <w:jc w:val="both"/>
        <w:rPr>
          <w:rFonts w:hAnsi="宋体"/>
        </w:rPr>
      </w:pPr>
      <w:proofErr w:type="gramStart"/>
      <w:r w:rsidRPr="002A4B9A">
        <w:rPr>
          <w:rFonts w:hAnsi="宋体" w:hint="eastAsia"/>
        </w:rPr>
        <w:t>利妥昔单</w:t>
      </w:r>
      <w:proofErr w:type="gramEnd"/>
      <w:r w:rsidRPr="002A4B9A">
        <w:rPr>
          <w:rFonts w:hAnsi="宋体" w:hint="eastAsia"/>
        </w:rPr>
        <w:t>抗</w:t>
      </w:r>
      <w:r w:rsidRPr="002A4B9A">
        <w:rPr>
          <w:rFonts w:hAnsi="宋体" w:hint="eastAsia"/>
          <w:color w:val="auto"/>
        </w:rPr>
        <w:t>非霍奇金淋巴瘤适应症</w:t>
      </w:r>
      <w:r w:rsidRPr="002A4B9A">
        <w:rPr>
          <w:rFonts w:hAnsi="宋体"/>
        </w:rPr>
        <w:t>在中国获</w:t>
      </w:r>
      <w:proofErr w:type="gramStart"/>
      <w:r w:rsidRPr="002A4B9A">
        <w:rPr>
          <w:rFonts w:hAnsi="宋体"/>
        </w:rPr>
        <w:t>批</w:t>
      </w:r>
      <w:r w:rsidRPr="002A4B9A">
        <w:rPr>
          <w:rFonts w:hAnsi="宋体" w:hint="eastAsia"/>
        </w:rPr>
        <w:t>时间</w:t>
      </w:r>
      <w:proofErr w:type="gramEnd"/>
      <w:r w:rsidRPr="002A4B9A">
        <w:rPr>
          <w:rFonts w:hAnsi="宋体" w:hint="eastAsia"/>
        </w:rPr>
        <w:t>较早。中国</w:t>
      </w:r>
      <w:r w:rsidRPr="002A4B9A">
        <w:rPr>
          <w:rFonts w:hAnsi="宋体" w:hint="eastAsia"/>
          <w:color w:val="auto"/>
        </w:rPr>
        <w:t>非霍奇金淋巴瘤中</w:t>
      </w:r>
      <w:r w:rsidRPr="002A4B9A">
        <w:rPr>
          <w:rFonts w:hAnsi="宋体"/>
          <w:color w:val="auto"/>
        </w:rPr>
        <w:t>，</w:t>
      </w:r>
      <w:r w:rsidRPr="002A4B9A">
        <w:rPr>
          <w:rFonts w:hAnsi="宋体" w:hint="eastAsia"/>
          <w:color w:val="auto"/>
        </w:rPr>
        <w:t>以</w:t>
      </w:r>
      <w:r w:rsidRPr="002A4B9A">
        <w:rPr>
          <w:rFonts w:hAnsi="宋体"/>
        </w:rPr>
        <w:t>弥漫性大B细胞淋巴瘤</w:t>
      </w:r>
      <w:r w:rsidRPr="002A4B9A">
        <w:rPr>
          <w:rFonts w:hAnsi="宋体" w:hint="eastAsia"/>
        </w:rPr>
        <w:t>（</w:t>
      </w:r>
      <w:r w:rsidRPr="002A4B9A">
        <w:rPr>
          <w:rFonts w:hAnsi="宋体"/>
          <w:color w:val="auto"/>
        </w:rPr>
        <w:t>DLBCL</w:t>
      </w:r>
      <w:r w:rsidRPr="002A4B9A">
        <w:rPr>
          <w:rFonts w:hAnsi="宋体" w:hint="eastAsia"/>
          <w:color w:val="auto"/>
        </w:rPr>
        <w:t>）</w:t>
      </w:r>
      <w:r w:rsidRPr="002A4B9A">
        <w:rPr>
          <w:rFonts w:hAnsi="宋体"/>
          <w:color w:val="auto"/>
        </w:rPr>
        <w:t>最为高发，</w:t>
      </w:r>
      <w:r w:rsidRPr="002A4B9A">
        <w:rPr>
          <w:rFonts w:hAnsi="宋体" w:hint="eastAsia"/>
        </w:rPr>
        <w:t>因此，推荐</w:t>
      </w:r>
      <w:r w:rsidRPr="002A4B9A">
        <w:rPr>
          <w:rFonts w:hAnsi="宋体"/>
        </w:rPr>
        <w:t>DLBCL初治患者</w:t>
      </w:r>
      <w:r w:rsidRPr="002A4B9A">
        <w:rPr>
          <w:rFonts w:hAnsi="宋体" w:hint="eastAsia"/>
        </w:rPr>
        <w:t>作为研究人群，这也是目前国内外在</w:t>
      </w:r>
      <w:proofErr w:type="gramStart"/>
      <w:r w:rsidRPr="002A4B9A">
        <w:rPr>
          <w:rFonts w:hAnsi="宋体" w:hint="eastAsia"/>
        </w:rPr>
        <w:t>研</w:t>
      </w:r>
      <w:proofErr w:type="gramEnd"/>
      <w:r w:rsidRPr="002A4B9A">
        <w:rPr>
          <w:rFonts w:hAnsi="宋体" w:hint="eastAsia"/>
        </w:rPr>
        <w:t>产品常选择的研究人群。如选择与其他化疗药物联合方案，应提供足够可靠的随机对照研究的数据支持，否则不利于等效界值的设置和评价。</w:t>
      </w:r>
    </w:p>
    <w:p w14:paraId="149B3E22" w14:textId="77777777" w:rsidR="0096753E" w:rsidRPr="002A4B9A" w:rsidRDefault="00E462BE">
      <w:pPr>
        <w:pStyle w:val="Default"/>
        <w:spacing w:line="360" w:lineRule="auto"/>
        <w:ind w:firstLineChars="200" w:firstLine="482"/>
        <w:contextualSpacing/>
        <w:jc w:val="both"/>
        <w:rPr>
          <w:rFonts w:hAnsi="宋体"/>
          <w:color w:val="auto"/>
        </w:rPr>
      </w:pPr>
      <w:r w:rsidRPr="002A4B9A">
        <w:rPr>
          <w:rFonts w:hAnsi="宋体" w:hint="eastAsia"/>
          <w:b/>
        </w:rPr>
        <w:t>给药方案</w:t>
      </w:r>
      <w:r w:rsidRPr="002A4B9A">
        <w:rPr>
          <w:rFonts w:hAnsi="宋体" w:cs="Times New Roman"/>
          <w:b/>
          <w:bCs/>
        </w:rPr>
        <w:t>/</w:t>
      </w:r>
      <w:r w:rsidRPr="002A4B9A">
        <w:rPr>
          <w:rFonts w:hAnsi="宋体" w:hint="eastAsia"/>
          <w:b/>
        </w:rPr>
        <w:t>剂量：</w:t>
      </w:r>
      <w:r w:rsidRPr="002A4B9A">
        <w:rPr>
          <w:rFonts w:hAnsi="宋体" w:hint="eastAsia"/>
        </w:rPr>
        <w:t>原研产品在不同适应症中，给药</w:t>
      </w:r>
      <w:r w:rsidRPr="002A4B9A">
        <w:rPr>
          <w:rFonts w:hAnsi="宋体" w:hint="eastAsia"/>
          <w:color w:val="auto"/>
        </w:rPr>
        <w:t>剂量和</w:t>
      </w:r>
      <w:r w:rsidRPr="002A4B9A">
        <w:rPr>
          <w:rFonts w:hAnsi="宋体"/>
          <w:color w:val="auto"/>
        </w:rPr>
        <w:t>给药频率</w:t>
      </w:r>
      <w:r w:rsidRPr="002A4B9A">
        <w:rPr>
          <w:rFonts w:hAnsi="宋体" w:hint="eastAsia"/>
          <w:color w:val="auto"/>
        </w:rPr>
        <w:t>均有所不同</w:t>
      </w:r>
      <w:r w:rsidRPr="002A4B9A">
        <w:rPr>
          <w:rFonts w:hAnsi="宋体"/>
          <w:color w:val="auto"/>
        </w:rPr>
        <w:t>。</w:t>
      </w:r>
      <w:r w:rsidRPr="002A4B9A">
        <w:rPr>
          <w:rFonts w:hAnsi="宋体" w:hint="eastAsia"/>
        </w:rPr>
        <w:t>临床有效性比对研究中尽可能选择与原研</w:t>
      </w:r>
      <w:proofErr w:type="gramStart"/>
      <w:r w:rsidRPr="002A4B9A">
        <w:rPr>
          <w:rFonts w:hAnsi="宋体" w:hint="eastAsia"/>
        </w:rPr>
        <w:t>药国内</w:t>
      </w:r>
      <w:proofErr w:type="gramEnd"/>
      <w:r w:rsidRPr="002A4B9A">
        <w:rPr>
          <w:rFonts w:hAnsi="宋体" w:hint="eastAsia"/>
        </w:rPr>
        <w:t>获批的给药剂量一致。对于</w:t>
      </w:r>
      <w:r w:rsidRPr="002A4B9A">
        <w:rPr>
          <w:rFonts w:hAnsi="宋体"/>
        </w:rPr>
        <w:t>弥漫性大B细胞淋巴瘤（DLBCL）初治患者</w:t>
      </w:r>
      <w:r w:rsidRPr="002A4B9A">
        <w:rPr>
          <w:rFonts w:hAnsi="宋体" w:hint="eastAsia"/>
        </w:rPr>
        <w:t>，</w:t>
      </w:r>
      <w:r w:rsidRPr="002A4B9A">
        <w:rPr>
          <w:rFonts w:hAnsi="宋体" w:hint="eastAsia"/>
          <w:color w:val="auto"/>
        </w:rPr>
        <w:t>应与</w:t>
      </w:r>
      <w:r w:rsidRPr="002A4B9A">
        <w:rPr>
          <w:rFonts w:hAnsi="宋体"/>
          <w:color w:val="auto"/>
        </w:rPr>
        <w:t>CHOP</w:t>
      </w:r>
      <w:r w:rsidRPr="002A4B9A">
        <w:rPr>
          <w:rFonts w:hAnsi="宋体" w:hint="eastAsia"/>
          <w:color w:val="auto"/>
        </w:rPr>
        <w:t>化疗联合使用。推荐剂量为</w:t>
      </w:r>
      <w:r w:rsidRPr="002A4B9A">
        <w:rPr>
          <w:rFonts w:hAnsi="宋体"/>
          <w:color w:val="auto"/>
        </w:rPr>
        <w:t>375mg/m</w:t>
      </w:r>
      <w:r w:rsidRPr="002A4B9A">
        <w:rPr>
          <w:rFonts w:hAnsi="宋体"/>
          <w:color w:val="auto"/>
          <w:vertAlign w:val="superscript"/>
        </w:rPr>
        <w:t>2</w:t>
      </w:r>
      <w:r w:rsidRPr="002A4B9A">
        <w:rPr>
          <w:rFonts w:hAnsi="宋体"/>
          <w:color w:val="auto"/>
        </w:rPr>
        <w:t xml:space="preserve"> BSA </w:t>
      </w:r>
      <w:r w:rsidRPr="002A4B9A">
        <w:rPr>
          <w:rFonts w:hAnsi="宋体" w:hint="eastAsia"/>
          <w:color w:val="auto"/>
        </w:rPr>
        <w:t>，每个化疗周期的第一天使用。</w:t>
      </w:r>
    </w:p>
    <w:p w14:paraId="22AB60AA" w14:textId="77777777" w:rsidR="0096753E" w:rsidRPr="002A4B9A" w:rsidRDefault="00E462BE">
      <w:pPr>
        <w:pStyle w:val="Default"/>
        <w:spacing w:line="360" w:lineRule="auto"/>
        <w:ind w:firstLineChars="200" w:firstLine="482"/>
        <w:contextualSpacing/>
        <w:jc w:val="both"/>
        <w:rPr>
          <w:rFonts w:hAnsi="宋体"/>
        </w:rPr>
      </w:pPr>
      <w:r w:rsidRPr="002A4B9A">
        <w:rPr>
          <w:rFonts w:hAnsi="宋体" w:hint="eastAsia"/>
          <w:b/>
        </w:rPr>
        <w:lastRenderedPageBreak/>
        <w:t>研究终点：</w:t>
      </w:r>
      <w:r w:rsidRPr="002A4B9A">
        <w:rPr>
          <w:rFonts w:hAnsi="宋体" w:hint="eastAsia"/>
        </w:rPr>
        <w:t>主要研究终点的选择应基于能敏感甄别出候选药与参照药的临床疗效差异，而肿瘤新药临床研究中常用的疗效终点</w:t>
      </w:r>
      <w:r w:rsidRPr="002A4B9A">
        <w:rPr>
          <w:rFonts w:hAnsi="宋体" w:cs="Times New Roman"/>
        </w:rPr>
        <w:t>PFS</w:t>
      </w:r>
      <w:r w:rsidRPr="002A4B9A">
        <w:rPr>
          <w:rFonts w:hAnsi="宋体" w:hint="eastAsia"/>
        </w:rPr>
        <w:t>、</w:t>
      </w:r>
      <w:r w:rsidRPr="002A4B9A">
        <w:rPr>
          <w:rFonts w:hAnsi="宋体" w:cs="Times New Roman"/>
        </w:rPr>
        <w:t>OS</w:t>
      </w:r>
      <w:r w:rsidRPr="002A4B9A">
        <w:rPr>
          <w:rFonts w:hAnsi="宋体" w:hint="eastAsia"/>
        </w:rPr>
        <w:t>并不是最敏感的指标。</w:t>
      </w:r>
    </w:p>
    <w:p w14:paraId="23A82A15" w14:textId="77777777" w:rsidR="0096753E" w:rsidRPr="002A4B9A" w:rsidRDefault="00E462BE">
      <w:pPr>
        <w:pStyle w:val="Default"/>
        <w:spacing w:line="360" w:lineRule="auto"/>
        <w:ind w:firstLineChars="200" w:firstLine="480"/>
        <w:contextualSpacing/>
        <w:jc w:val="both"/>
        <w:rPr>
          <w:rFonts w:hAnsi="宋体"/>
        </w:rPr>
      </w:pPr>
      <w:proofErr w:type="gramStart"/>
      <w:r w:rsidRPr="002A4B9A">
        <w:rPr>
          <w:rFonts w:hAnsi="宋体" w:hint="eastAsia"/>
        </w:rPr>
        <w:t>利妥昔单抗</w:t>
      </w:r>
      <w:r w:rsidRPr="002A4B9A">
        <w:rPr>
          <w:rFonts w:hAnsi="宋体" w:hint="eastAsia"/>
          <w:color w:val="auto"/>
        </w:rPr>
        <w:t>与</w:t>
      </w:r>
      <w:proofErr w:type="gramEnd"/>
      <w:r w:rsidRPr="002A4B9A">
        <w:rPr>
          <w:rFonts w:hAnsi="宋体"/>
          <w:color w:val="auto"/>
        </w:rPr>
        <w:t>CHOP</w:t>
      </w:r>
      <w:r w:rsidRPr="002A4B9A">
        <w:rPr>
          <w:rFonts w:hAnsi="宋体" w:hint="eastAsia"/>
          <w:color w:val="auto"/>
        </w:rPr>
        <w:t>化疗联合用于</w:t>
      </w:r>
      <w:r w:rsidRPr="002A4B9A">
        <w:rPr>
          <w:rFonts w:hAnsi="宋体"/>
        </w:rPr>
        <w:t>DLBCL初治患者</w:t>
      </w:r>
      <w:r w:rsidRPr="002A4B9A">
        <w:rPr>
          <w:rFonts w:hAnsi="宋体" w:hint="eastAsia"/>
        </w:rPr>
        <w:t>时</w:t>
      </w:r>
      <w:r w:rsidRPr="002A4B9A">
        <w:rPr>
          <w:rFonts w:hAnsi="宋体"/>
        </w:rPr>
        <w:t>，</w:t>
      </w:r>
      <w:r w:rsidRPr="002A4B9A">
        <w:rPr>
          <w:rFonts w:hAnsi="宋体" w:hint="eastAsia"/>
        </w:rPr>
        <w:t>每3周</w:t>
      </w:r>
      <w:r w:rsidRPr="002A4B9A">
        <w:rPr>
          <w:rFonts w:hAnsi="宋体"/>
        </w:rPr>
        <w:t>为一个治疗周期，共治疗6个周期</w:t>
      </w:r>
      <w:r w:rsidRPr="002A4B9A">
        <w:rPr>
          <w:rFonts w:hAnsi="宋体" w:hint="eastAsia"/>
        </w:rPr>
        <w:t>，因此常选择</w:t>
      </w:r>
      <w:r w:rsidRPr="002A4B9A">
        <w:rPr>
          <w:rFonts w:hAnsi="宋体" w:cs="Times New Roman"/>
        </w:rPr>
        <w:t>18</w:t>
      </w:r>
      <w:r w:rsidRPr="002A4B9A">
        <w:rPr>
          <w:rFonts w:hAnsi="宋体" w:hint="eastAsia"/>
        </w:rPr>
        <w:t>周</w:t>
      </w:r>
      <w:r w:rsidRPr="002A4B9A">
        <w:rPr>
          <w:rFonts w:hAnsi="宋体" w:cs="Times New Roman"/>
        </w:rPr>
        <w:t>(6</w:t>
      </w:r>
      <w:r w:rsidRPr="002A4B9A">
        <w:rPr>
          <w:rFonts w:hAnsi="宋体" w:hint="eastAsia"/>
        </w:rPr>
        <w:t>个周期</w:t>
      </w:r>
      <w:r w:rsidRPr="002A4B9A">
        <w:rPr>
          <w:rFonts w:hAnsi="宋体" w:cs="Times New Roman"/>
        </w:rPr>
        <w:t>)</w:t>
      </w:r>
      <w:r w:rsidRPr="002A4B9A">
        <w:rPr>
          <w:rFonts w:hAnsi="宋体" w:hint="eastAsia"/>
        </w:rPr>
        <w:t>的</w:t>
      </w:r>
      <w:r w:rsidRPr="002A4B9A">
        <w:rPr>
          <w:rFonts w:hAnsi="宋体" w:cs="Times New Roman"/>
        </w:rPr>
        <w:t>ORR</w:t>
      </w:r>
      <w:r w:rsidRPr="002A4B9A">
        <w:rPr>
          <w:rFonts w:hAnsi="宋体" w:hint="eastAsia"/>
        </w:rPr>
        <w:t>作为等效性评价的主要疗效终点。建议同时提供</w:t>
      </w:r>
      <w:r w:rsidRPr="002A4B9A">
        <w:rPr>
          <w:rFonts w:hAnsi="宋体" w:cs="Times New Roman"/>
        </w:rPr>
        <w:t>PFS</w:t>
      </w:r>
      <w:r w:rsidRPr="002A4B9A">
        <w:rPr>
          <w:rFonts w:hAnsi="宋体" w:hint="eastAsia"/>
        </w:rPr>
        <w:t>、缓解持续时间（</w:t>
      </w:r>
      <w:r w:rsidRPr="002A4B9A">
        <w:rPr>
          <w:rFonts w:hAnsi="宋体" w:cs="Times New Roman"/>
        </w:rPr>
        <w:t>DOR</w:t>
      </w:r>
      <w:r w:rsidRPr="002A4B9A">
        <w:rPr>
          <w:rFonts w:hAnsi="宋体" w:hint="eastAsia"/>
        </w:rPr>
        <w:t>）、</w:t>
      </w:r>
      <w:r w:rsidRPr="002A4B9A">
        <w:rPr>
          <w:rFonts w:hAnsi="宋体" w:cs="Times New Roman"/>
        </w:rPr>
        <w:t>OS</w:t>
      </w:r>
      <w:r w:rsidRPr="002A4B9A">
        <w:rPr>
          <w:rFonts w:hAnsi="宋体" w:hint="eastAsia"/>
        </w:rPr>
        <w:t>等次要终点指标作为支持。</w:t>
      </w:r>
    </w:p>
    <w:p w14:paraId="056336AF" w14:textId="77777777" w:rsidR="0096753E" w:rsidRPr="002A4B9A" w:rsidRDefault="00E462BE">
      <w:pPr>
        <w:pStyle w:val="Default"/>
        <w:spacing w:line="360" w:lineRule="auto"/>
        <w:ind w:firstLineChars="200" w:firstLine="482"/>
        <w:contextualSpacing/>
        <w:jc w:val="both"/>
        <w:rPr>
          <w:rFonts w:hAnsi="宋体"/>
        </w:rPr>
      </w:pPr>
      <w:proofErr w:type="gramStart"/>
      <w:r w:rsidRPr="002A4B9A">
        <w:rPr>
          <w:rFonts w:hAnsi="宋体" w:hint="eastAsia"/>
          <w:b/>
        </w:rPr>
        <w:t>界</w:t>
      </w:r>
      <w:proofErr w:type="gramEnd"/>
      <w:r w:rsidRPr="002A4B9A">
        <w:rPr>
          <w:rFonts w:hAnsi="宋体" w:hint="eastAsia"/>
          <w:b/>
        </w:rPr>
        <w:t>值选择与样本量计算：</w:t>
      </w:r>
      <w:r w:rsidRPr="002A4B9A">
        <w:rPr>
          <w:rFonts w:hAnsi="宋体" w:hint="eastAsia"/>
        </w:rPr>
        <w:t>目前国际上学术界计算设定界值时对使用</w:t>
      </w:r>
      <w:proofErr w:type="gramStart"/>
      <w:r w:rsidRPr="002A4B9A">
        <w:rPr>
          <w:rFonts w:hAnsi="宋体" w:hint="eastAsia"/>
        </w:rPr>
        <w:t>候选药组与参照药组研究</w:t>
      </w:r>
      <w:proofErr w:type="gramEnd"/>
      <w:r w:rsidRPr="002A4B9A">
        <w:rPr>
          <w:rFonts w:hAnsi="宋体" w:hint="eastAsia"/>
        </w:rPr>
        <w:t>终点的差值（</w:t>
      </w:r>
      <w:r w:rsidRPr="002A4B9A">
        <w:rPr>
          <w:rFonts w:hAnsi="宋体" w:cs="Times New Roman"/>
        </w:rPr>
        <w:t>Risk Difference</w:t>
      </w:r>
      <w:r w:rsidRPr="002A4B9A">
        <w:rPr>
          <w:rFonts w:hAnsi="宋体" w:hint="eastAsia"/>
        </w:rPr>
        <w:t>，</w:t>
      </w:r>
      <w:r w:rsidRPr="002A4B9A">
        <w:rPr>
          <w:rFonts w:hAnsi="宋体" w:cs="Times New Roman"/>
        </w:rPr>
        <w:t>RD</w:t>
      </w:r>
      <w:r w:rsidRPr="002A4B9A">
        <w:rPr>
          <w:rFonts w:hAnsi="宋体" w:hint="eastAsia"/>
        </w:rPr>
        <w:t>）或者比值（</w:t>
      </w:r>
      <w:r w:rsidRPr="002A4B9A">
        <w:rPr>
          <w:rFonts w:hAnsi="宋体" w:cs="Times New Roman"/>
        </w:rPr>
        <w:t>Risk Ratio</w:t>
      </w:r>
      <w:r w:rsidRPr="002A4B9A">
        <w:rPr>
          <w:rFonts w:hAnsi="宋体" w:hint="eastAsia"/>
        </w:rPr>
        <w:t>，</w:t>
      </w:r>
      <w:r w:rsidRPr="002A4B9A">
        <w:rPr>
          <w:rFonts w:hAnsi="宋体" w:cs="Times New Roman"/>
        </w:rPr>
        <w:t>RR</w:t>
      </w:r>
      <w:r w:rsidRPr="002A4B9A">
        <w:rPr>
          <w:rFonts w:hAnsi="宋体" w:hint="eastAsia"/>
        </w:rPr>
        <w:t>）仍存在争议。一般情况下，</w:t>
      </w:r>
      <w:r w:rsidRPr="002A4B9A">
        <w:rPr>
          <w:rFonts w:hAnsi="宋体" w:cs="Times New Roman"/>
        </w:rPr>
        <w:t>R</w:t>
      </w:r>
      <w:r w:rsidR="00526A49">
        <w:rPr>
          <w:rFonts w:hAnsi="宋体" w:cs="Times New Roman"/>
        </w:rPr>
        <w:t>D</w:t>
      </w:r>
      <w:r w:rsidRPr="002A4B9A">
        <w:rPr>
          <w:rFonts w:hAnsi="宋体" w:hint="eastAsia"/>
        </w:rPr>
        <w:t>与</w:t>
      </w:r>
      <w:r w:rsidRPr="002A4B9A">
        <w:rPr>
          <w:rFonts w:hAnsi="宋体" w:cs="Times New Roman"/>
        </w:rPr>
        <w:t>R</w:t>
      </w:r>
      <w:r w:rsidR="00526A49">
        <w:rPr>
          <w:rFonts w:hAnsi="宋体" w:cs="Times New Roman"/>
        </w:rPr>
        <w:t>R</w:t>
      </w:r>
      <w:r w:rsidRPr="002A4B9A">
        <w:rPr>
          <w:rFonts w:hAnsi="宋体" w:hint="eastAsia"/>
        </w:rPr>
        <w:t>在大部分情况下是相当的，但后者更易受研究终点自身变异性的影响，而前者更直接，推荐利用</w:t>
      </w:r>
      <w:r w:rsidRPr="002A4B9A">
        <w:rPr>
          <w:rFonts w:hAnsi="宋体" w:cs="Times New Roman"/>
        </w:rPr>
        <w:t>RD</w:t>
      </w:r>
      <w:r w:rsidRPr="002A4B9A">
        <w:rPr>
          <w:rFonts w:hAnsi="宋体" w:hint="eastAsia"/>
        </w:rPr>
        <w:t>计算设定</w:t>
      </w:r>
      <w:proofErr w:type="gramStart"/>
      <w:r w:rsidRPr="002A4B9A">
        <w:rPr>
          <w:rFonts w:hAnsi="宋体" w:hint="eastAsia"/>
        </w:rPr>
        <w:t>利妥昔单</w:t>
      </w:r>
      <w:proofErr w:type="gramEnd"/>
      <w:r w:rsidRPr="002A4B9A">
        <w:rPr>
          <w:rFonts w:hAnsi="宋体" w:hint="eastAsia"/>
        </w:rPr>
        <w:t>抗临床有效性比对研究的等效性界值。</w:t>
      </w:r>
      <w:r w:rsidRPr="002A4B9A">
        <w:rPr>
          <w:rFonts w:hAnsi="宋体"/>
        </w:rPr>
        <w:t xml:space="preserve"> </w:t>
      </w:r>
    </w:p>
    <w:p w14:paraId="4A357CE3" w14:textId="77777777" w:rsidR="0096753E" w:rsidRPr="002A4B9A" w:rsidRDefault="00E462BE">
      <w:pPr>
        <w:pStyle w:val="Default"/>
        <w:spacing w:line="360" w:lineRule="auto"/>
        <w:ind w:firstLineChars="200" w:firstLine="480"/>
        <w:contextualSpacing/>
        <w:jc w:val="both"/>
        <w:rPr>
          <w:rFonts w:hAnsi="宋体"/>
        </w:rPr>
      </w:pPr>
      <w:r w:rsidRPr="002A4B9A">
        <w:rPr>
          <w:rFonts w:hAnsi="宋体" w:hint="eastAsia"/>
        </w:rPr>
        <w:t>等效界值可基于参照药治疗效应的置信区间下限估算得到，参照药治疗效应则是</w:t>
      </w:r>
      <w:proofErr w:type="gramStart"/>
      <w:r w:rsidRPr="002A4B9A">
        <w:rPr>
          <w:rFonts w:hAnsi="宋体" w:hint="eastAsia"/>
        </w:rPr>
        <w:t>参照药组与</w:t>
      </w:r>
      <w:proofErr w:type="gramEnd"/>
      <w:r w:rsidRPr="002A4B9A">
        <w:rPr>
          <w:rFonts w:hAnsi="宋体" w:hint="eastAsia"/>
        </w:rPr>
        <w:t>对照组的疗效比值</w:t>
      </w:r>
      <w:r w:rsidRPr="002A4B9A">
        <w:rPr>
          <w:rFonts w:hAnsi="宋体" w:cs="Times New Roman"/>
        </w:rPr>
        <w:t>/</w:t>
      </w:r>
      <w:r w:rsidRPr="002A4B9A">
        <w:rPr>
          <w:rFonts w:hAnsi="宋体" w:hint="eastAsia"/>
        </w:rPr>
        <w:t>差值。</w:t>
      </w:r>
    </w:p>
    <w:p w14:paraId="0104FBD7" w14:textId="77777777" w:rsidR="0096753E" w:rsidRPr="002A4B9A" w:rsidRDefault="000C6B95">
      <w:pPr>
        <w:spacing w:line="360" w:lineRule="auto"/>
        <w:ind w:firstLineChars="200" w:firstLine="480"/>
        <w:rPr>
          <w:rFonts w:ascii="宋体" w:eastAsia="宋体" w:hAnsi="宋体"/>
          <w:sz w:val="24"/>
          <w:szCs w:val="24"/>
        </w:rPr>
      </w:pPr>
      <w:r w:rsidRPr="002A4B9A">
        <w:rPr>
          <w:rFonts w:ascii="宋体" w:eastAsia="宋体" w:hAnsi="宋体" w:cs="宋体" w:hint="eastAsia"/>
          <w:color w:val="000000"/>
          <w:kern w:val="0"/>
          <w:sz w:val="24"/>
          <w:szCs w:val="24"/>
        </w:rPr>
        <w:t>根据</w:t>
      </w:r>
      <w:r w:rsidR="00E462BE" w:rsidRPr="002A4B9A">
        <w:rPr>
          <w:rFonts w:ascii="宋体" w:eastAsia="宋体" w:hAnsi="宋体" w:cs="宋体" w:hint="eastAsia"/>
          <w:color w:val="000000"/>
          <w:kern w:val="0"/>
          <w:sz w:val="24"/>
          <w:szCs w:val="24"/>
        </w:rPr>
        <w:t>国内外临床研究，在D</w:t>
      </w:r>
      <w:r w:rsidR="00E462BE" w:rsidRPr="002A4B9A">
        <w:rPr>
          <w:rFonts w:ascii="宋体" w:eastAsia="宋体" w:hAnsi="宋体" w:hint="eastAsia"/>
          <w:sz w:val="24"/>
          <w:szCs w:val="24"/>
        </w:rPr>
        <w:t>LBCL受试者中R-CHOP的总缓解率ORR优于CHOP，绝对差值在18%~36%，</w:t>
      </w:r>
      <w:r w:rsidR="00526A49">
        <w:rPr>
          <w:rFonts w:ascii="宋体" w:eastAsia="宋体" w:hAnsi="宋体" w:cs="Times New Roman" w:hint="eastAsia"/>
          <w:sz w:val="24"/>
          <w:szCs w:val="24"/>
        </w:rPr>
        <w:t>考虑</w:t>
      </w:r>
      <w:r w:rsidR="00E462BE" w:rsidRPr="002A4B9A">
        <w:rPr>
          <w:rFonts w:ascii="宋体" w:eastAsia="宋体" w:hAnsi="宋体" w:cs="Times New Roman" w:hint="eastAsia"/>
          <w:sz w:val="24"/>
          <w:szCs w:val="24"/>
        </w:rPr>
        <w:t>参照</w:t>
      </w:r>
      <w:r w:rsidR="00E462BE" w:rsidRPr="002A4B9A">
        <w:rPr>
          <w:rFonts w:ascii="宋体" w:eastAsia="宋体" w:hAnsi="宋体" w:cs="Times New Roman"/>
          <w:sz w:val="24"/>
          <w:szCs w:val="24"/>
        </w:rPr>
        <w:t>药治疗</w:t>
      </w:r>
      <w:r w:rsidR="00E462BE" w:rsidRPr="002A4B9A">
        <w:rPr>
          <w:rFonts w:ascii="宋体" w:eastAsia="宋体" w:hAnsi="宋体" w:cs="Times New Roman" w:hint="eastAsia"/>
          <w:sz w:val="24"/>
          <w:szCs w:val="24"/>
        </w:rPr>
        <w:t>效应</w:t>
      </w:r>
      <w:r w:rsidR="00526A49">
        <w:rPr>
          <w:rFonts w:ascii="宋体" w:eastAsia="宋体" w:hAnsi="宋体" w:cs="Times New Roman" w:hint="eastAsia"/>
          <w:sz w:val="24"/>
          <w:szCs w:val="24"/>
        </w:rPr>
        <w:t>9</w:t>
      </w:r>
      <w:r w:rsidR="00526A49">
        <w:rPr>
          <w:rFonts w:ascii="宋体" w:eastAsia="宋体" w:hAnsi="宋体" w:cs="Times New Roman"/>
          <w:sz w:val="24"/>
          <w:szCs w:val="24"/>
        </w:rPr>
        <w:t>5%</w:t>
      </w:r>
      <w:r w:rsidR="00526A49">
        <w:rPr>
          <w:rFonts w:ascii="宋体" w:eastAsia="宋体" w:hAnsi="宋体" w:cs="Times New Roman" w:hint="eastAsia"/>
          <w:sz w:val="24"/>
          <w:szCs w:val="24"/>
        </w:rPr>
        <w:t>置信区间</w:t>
      </w:r>
      <w:r w:rsidR="00E462BE" w:rsidRPr="002A4B9A">
        <w:rPr>
          <w:rFonts w:ascii="宋体" w:eastAsia="宋体" w:hAnsi="宋体" w:cs="Times New Roman"/>
          <w:sz w:val="24"/>
          <w:szCs w:val="24"/>
        </w:rPr>
        <w:t>下限的</w:t>
      </w:r>
      <w:r w:rsidR="00526A49">
        <w:rPr>
          <w:rFonts w:ascii="宋体" w:eastAsia="宋体" w:hAnsi="宋体" w:cs="Times New Roman" w:hint="eastAsia"/>
          <w:sz w:val="24"/>
          <w:szCs w:val="24"/>
        </w:rPr>
        <w:t>一半</w:t>
      </w:r>
      <w:r w:rsidR="00526A49">
        <w:rPr>
          <w:rFonts w:ascii="宋体" w:eastAsia="宋体" w:hAnsi="宋体" w:cs="Times New Roman"/>
          <w:sz w:val="24"/>
          <w:szCs w:val="24"/>
        </w:rPr>
        <w:t>，</w:t>
      </w:r>
      <w:r w:rsidR="00E462BE" w:rsidRPr="002A4B9A">
        <w:rPr>
          <w:rFonts w:ascii="宋体" w:eastAsia="宋体" w:hAnsi="宋体" w:cs="Times New Roman"/>
          <w:sz w:val="24"/>
          <w:szCs w:val="24"/>
        </w:rPr>
        <w:t>作为等效界值</w:t>
      </w:r>
      <w:r w:rsidR="00E462BE" w:rsidRPr="002A4B9A">
        <w:rPr>
          <w:rFonts w:ascii="宋体" w:eastAsia="宋体" w:hAnsi="宋体" w:cs="Times New Roman" w:hint="eastAsia"/>
          <w:sz w:val="24"/>
          <w:szCs w:val="24"/>
        </w:rPr>
        <w:t>的确定</w:t>
      </w:r>
      <w:r w:rsidR="00E462BE" w:rsidRPr="002A4B9A">
        <w:rPr>
          <w:rFonts w:ascii="宋体" w:eastAsia="宋体" w:hAnsi="宋体" w:cs="Times New Roman"/>
          <w:sz w:val="24"/>
          <w:szCs w:val="24"/>
        </w:rPr>
        <w:t>原则，</w:t>
      </w:r>
      <w:r w:rsidRPr="002A4B9A">
        <w:rPr>
          <w:rFonts w:ascii="宋体" w:eastAsia="宋体" w:hAnsi="宋体" w:cs="Times New Roman" w:hint="eastAsia"/>
          <w:sz w:val="24"/>
          <w:szCs w:val="24"/>
        </w:rPr>
        <w:t>并参考</w:t>
      </w:r>
      <w:r w:rsidRPr="002A4B9A">
        <w:rPr>
          <w:rFonts w:ascii="宋体" w:eastAsia="宋体" w:hAnsi="宋体" w:cs="Times New Roman"/>
          <w:sz w:val="24"/>
          <w:szCs w:val="24"/>
        </w:rPr>
        <w:t>国内首个获</w:t>
      </w:r>
      <w:proofErr w:type="gramStart"/>
      <w:r w:rsidRPr="002A4B9A">
        <w:rPr>
          <w:rFonts w:ascii="宋体" w:eastAsia="宋体" w:hAnsi="宋体" w:cs="Times New Roman"/>
          <w:sz w:val="24"/>
          <w:szCs w:val="24"/>
        </w:rPr>
        <w:t>批利妥昔单抗生物类似药</w:t>
      </w:r>
      <w:proofErr w:type="gramEnd"/>
      <w:r w:rsidRPr="002A4B9A">
        <w:rPr>
          <w:rFonts w:ascii="宋体" w:eastAsia="宋体" w:hAnsi="宋体" w:cs="Times New Roman"/>
          <w:sz w:val="24"/>
          <w:szCs w:val="24"/>
        </w:rPr>
        <w:t>的III期比对研究设计，</w:t>
      </w:r>
      <w:r w:rsidR="00E462BE" w:rsidRPr="002A4B9A">
        <w:rPr>
          <w:rFonts w:ascii="宋体" w:eastAsia="宋体" w:hAnsi="宋体" w:cs="Times New Roman" w:hint="eastAsia"/>
          <w:sz w:val="24"/>
          <w:szCs w:val="24"/>
        </w:rPr>
        <w:t>建议ORR的</w:t>
      </w:r>
      <w:r w:rsidR="00E462BE" w:rsidRPr="002A4B9A">
        <w:rPr>
          <w:rFonts w:ascii="宋体" w:eastAsia="宋体" w:hAnsi="宋体" w:cs="Times New Roman"/>
          <w:sz w:val="24"/>
          <w:szCs w:val="24"/>
        </w:rPr>
        <w:t>等效性界值</w:t>
      </w:r>
      <w:r w:rsidR="00E462BE" w:rsidRPr="002A4B9A">
        <w:rPr>
          <w:rFonts w:ascii="宋体" w:eastAsia="宋体" w:hAnsi="宋体" w:cs="Times New Roman" w:hint="eastAsia"/>
          <w:sz w:val="24"/>
          <w:szCs w:val="24"/>
        </w:rPr>
        <w:t>按</w:t>
      </w:r>
      <w:r w:rsidR="00E462BE" w:rsidRPr="002A4B9A">
        <w:rPr>
          <w:rFonts w:ascii="宋体" w:eastAsia="宋体" w:hAnsi="宋体" w:cs="Times New Roman"/>
          <w:sz w:val="24"/>
          <w:szCs w:val="24"/>
        </w:rPr>
        <w:t>RD的</w:t>
      </w:r>
      <w:r w:rsidR="00E462BE" w:rsidRPr="002A4B9A">
        <w:rPr>
          <w:rFonts w:ascii="宋体" w:eastAsia="宋体" w:hAnsi="宋体" w:cs="Times New Roman" w:hint="eastAsia"/>
          <w:sz w:val="24"/>
          <w:szCs w:val="24"/>
        </w:rPr>
        <w:t>9</w:t>
      </w:r>
      <w:r w:rsidR="00E462BE" w:rsidRPr="002A4B9A">
        <w:rPr>
          <w:rFonts w:ascii="宋体" w:eastAsia="宋体" w:hAnsi="宋体" w:cs="Times New Roman"/>
          <w:sz w:val="24"/>
          <w:szCs w:val="24"/>
        </w:rPr>
        <w:t>5%置信</w:t>
      </w:r>
      <w:r w:rsidR="00E462BE" w:rsidRPr="002A4B9A">
        <w:rPr>
          <w:rFonts w:ascii="宋体" w:eastAsia="宋体" w:hAnsi="宋体" w:cs="Times New Roman" w:hint="eastAsia"/>
          <w:sz w:val="24"/>
          <w:szCs w:val="24"/>
        </w:rPr>
        <w:t>区间</w:t>
      </w:r>
      <w:r w:rsidR="00E462BE" w:rsidRPr="002A4B9A">
        <w:rPr>
          <w:rFonts w:ascii="宋体" w:eastAsia="宋体" w:hAnsi="宋体" w:cs="Times New Roman"/>
          <w:sz w:val="24"/>
          <w:szCs w:val="24"/>
        </w:rPr>
        <w:t>设定为</w:t>
      </w:r>
      <w:r w:rsidR="00E462BE" w:rsidRPr="002A4B9A">
        <w:rPr>
          <w:rFonts w:ascii="宋体" w:eastAsia="宋体" w:hAnsi="宋体" w:cs="Times New Roman" w:hint="eastAsia"/>
          <w:sz w:val="24"/>
          <w:szCs w:val="24"/>
        </w:rPr>
        <w:t>±1</w:t>
      </w:r>
      <w:r w:rsidR="00E462BE" w:rsidRPr="002A4B9A">
        <w:rPr>
          <w:rFonts w:ascii="宋体" w:eastAsia="宋体" w:hAnsi="宋体" w:cs="Times New Roman"/>
          <w:sz w:val="24"/>
          <w:szCs w:val="24"/>
        </w:rPr>
        <w:t>2%</w:t>
      </w:r>
      <w:r w:rsidR="00E462BE" w:rsidRPr="002A4B9A">
        <w:rPr>
          <w:rFonts w:ascii="宋体" w:eastAsia="宋体" w:hAnsi="宋体" w:cs="Times New Roman" w:hint="eastAsia"/>
          <w:sz w:val="24"/>
          <w:szCs w:val="24"/>
        </w:rPr>
        <w:t>。</w:t>
      </w:r>
      <w:r w:rsidR="00E462BE" w:rsidRPr="002A4B9A">
        <w:rPr>
          <w:rFonts w:ascii="宋体" w:eastAsia="宋体" w:hAnsi="宋体" w:hint="eastAsia"/>
          <w:sz w:val="24"/>
          <w:szCs w:val="24"/>
        </w:rPr>
        <w:t>把握度一般设置在</w:t>
      </w:r>
      <w:r w:rsidR="00E462BE" w:rsidRPr="002A4B9A">
        <w:rPr>
          <w:rFonts w:ascii="宋体" w:eastAsia="宋体" w:hAnsi="宋体" w:cs="Times New Roman"/>
          <w:sz w:val="24"/>
          <w:szCs w:val="24"/>
        </w:rPr>
        <w:t>80%</w:t>
      </w:r>
      <w:r w:rsidR="00E462BE" w:rsidRPr="002A4B9A">
        <w:rPr>
          <w:rFonts w:ascii="宋体" w:eastAsia="宋体" w:hAnsi="宋体" w:hint="eastAsia"/>
          <w:sz w:val="24"/>
          <w:szCs w:val="24"/>
        </w:rPr>
        <w:t>以上，基于上述参数合理估算样本量。如按全球开发策略，则需要考虑满足不同监管部门的要求。</w:t>
      </w:r>
    </w:p>
    <w:p w14:paraId="373E25BF" w14:textId="77777777" w:rsidR="0096753E" w:rsidRPr="002A4B9A" w:rsidRDefault="00E462BE">
      <w:pPr>
        <w:pStyle w:val="Default"/>
        <w:spacing w:line="360" w:lineRule="auto"/>
        <w:ind w:firstLineChars="200" w:firstLine="482"/>
        <w:contextualSpacing/>
        <w:jc w:val="both"/>
        <w:rPr>
          <w:rFonts w:hAnsi="宋体" w:cs="Times New Roman"/>
          <w:b/>
        </w:rPr>
      </w:pPr>
      <w:r w:rsidRPr="002A4B9A">
        <w:rPr>
          <w:rFonts w:hAnsi="宋体" w:cs="Times New Roman"/>
          <w:b/>
        </w:rPr>
        <w:t>3、安全性和免疫原性研究</w:t>
      </w:r>
    </w:p>
    <w:p w14:paraId="663AE488" w14:textId="77777777" w:rsidR="0096753E" w:rsidRPr="002A4B9A" w:rsidRDefault="00E462BE">
      <w:pPr>
        <w:pStyle w:val="Default"/>
        <w:spacing w:line="360" w:lineRule="auto"/>
        <w:ind w:firstLineChars="200" w:firstLine="480"/>
        <w:contextualSpacing/>
        <w:jc w:val="both"/>
        <w:rPr>
          <w:rFonts w:hAnsi="宋体" w:cs="Times New Roman"/>
        </w:rPr>
      </w:pPr>
      <w:r w:rsidRPr="002A4B9A">
        <w:rPr>
          <w:rFonts w:hAnsi="宋体" w:cs="Times New Roman" w:hint="eastAsia"/>
        </w:rPr>
        <w:t>免疫原性研究是生物大分子药物特有且重要的研究项目，应贯穿在整个研发过程中。免疫原性主要通过检测抗药抗体（</w:t>
      </w:r>
      <w:r w:rsidRPr="002A4B9A">
        <w:rPr>
          <w:rFonts w:hAnsi="宋体" w:cs="Times New Roman"/>
        </w:rPr>
        <w:t>ADA</w:t>
      </w:r>
      <w:r w:rsidRPr="002A4B9A">
        <w:rPr>
          <w:rFonts w:hAnsi="宋体" w:cs="Times New Roman" w:hint="eastAsia"/>
        </w:rPr>
        <w:t>）和中和抗体</w:t>
      </w:r>
      <w:r w:rsidRPr="002A4B9A">
        <w:rPr>
          <w:rFonts w:hAnsi="宋体" w:cs="Times New Roman"/>
        </w:rPr>
        <w:t>(Nab)</w:t>
      </w:r>
      <w:r w:rsidRPr="002A4B9A">
        <w:rPr>
          <w:rFonts w:hAnsi="宋体" w:cs="Times New Roman" w:hint="eastAsia"/>
        </w:rPr>
        <w:t>的发生率来评价。</w:t>
      </w:r>
    </w:p>
    <w:p w14:paraId="7C5E1A08" w14:textId="77777777" w:rsidR="0096753E" w:rsidRPr="002A4B9A" w:rsidRDefault="00E462BE">
      <w:pPr>
        <w:spacing w:line="360" w:lineRule="auto"/>
        <w:ind w:firstLineChars="200" w:firstLine="480"/>
        <w:contextualSpacing/>
        <w:rPr>
          <w:rFonts w:ascii="宋体" w:eastAsia="宋体" w:hAnsi="宋体" w:cs="Times New Roman"/>
          <w:sz w:val="24"/>
          <w:szCs w:val="24"/>
        </w:rPr>
      </w:pPr>
      <w:r w:rsidRPr="002A4B9A">
        <w:rPr>
          <w:rFonts w:ascii="宋体" w:eastAsia="宋体" w:hAnsi="宋体" w:cs="Times New Roman"/>
          <w:sz w:val="24"/>
          <w:szCs w:val="24"/>
        </w:rPr>
        <w:t>免疫原性试验结果与检测方法的敏感性，特异性及药物耐受</w:t>
      </w:r>
      <w:proofErr w:type="gramStart"/>
      <w:r w:rsidRPr="002A4B9A">
        <w:rPr>
          <w:rFonts w:ascii="宋体" w:eastAsia="宋体" w:hAnsi="宋体" w:cs="Times New Roman"/>
          <w:sz w:val="24"/>
          <w:szCs w:val="24"/>
        </w:rPr>
        <w:t>性高度</w:t>
      </w:r>
      <w:proofErr w:type="gramEnd"/>
      <w:r w:rsidRPr="002A4B9A">
        <w:rPr>
          <w:rFonts w:ascii="宋体" w:eastAsia="宋体" w:hAnsi="宋体" w:cs="Times New Roman"/>
          <w:sz w:val="24"/>
          <w:szCs w:val="24"/>
        </w:rPr>
        <w:t>相关，并且可能受以下几种因素的影响：血样的处理、取样的时间、合并用药以及合并的疾病等。</w:t>
      </w:r>
      <w:r w:rsidRPr="002A4B9A">
        <w:rPr>
          <w:rFonts w:ascii="宋体" w:eastAsia="宋体" w:hAnsi="宋体" w:cs="Times New Roman" w:hint="eastAsia"/>
          <w:sz w:val="24"/>
          <w:szCs w:val="24"/>
        </w:rPr>
        <w:t>通常</w:t>
      </w:r>
      <w:r w:rsidRPr="002A4B9A">
        <w:rPr>
          <w:rFonts w:ascii="宋体" w:eastAsia="宋体" w:hAnsi="宋体" w:cs="Times New Roman"/>
          <w:sz w:val="24"/>
          <w:szCs w:val="24"/>
        </w:rPr>
        <w:t>，临床免疫原性</w:t>
      </w:r>
      <w:r w:rsidRPr="002A4B9A">
        <w:rPr>
          <w:rFonts w:ascii="宋体" w:eastAsia="宋体" w:hAnsi="宋体" w:cs="Times New Roman" w:hint="eastAsia"/>
          <w:sz w:val="24"/>
          <w:szCs w:val="24"/>
        </w:rPr>
        <w:t>考察</w:t>
      </w:r>
      <w:r w:rsidRPr="002A4B9A">
        <w:rPr>
          <w:rFonts w:ascii="宋体" w:eastAsia="宋体" w:hAnsi="宋体" w:cs="Times New Roman"/>
          <w:sz w:val="24"/>
          <w:szCs w:val="24"/>
        </w:rPr>
        <w:t>研究</w:t>
      </w:r>
      <w:r w:rsidRPr="002A4B9A">
        <w:rPr>
          <w:rFonts w:ascii="宋体" w:eastAsia="宋体" w:hAnsi="宋体" w:cs="Times New Roman" w:hint="eastAsia"/>
          <w:sz w:val="24"/>
          <w:szCs w:val="24"/>
        </w:rPr>
        <w:t>（包括ADA</w:t>
      </w:r>
      <w:r w:rsidRPr="002A4B9A">
        <w:rPr>
          <w:rFonts w:ascii="宋体" w:eastAsia="宋体" w:hAnsi="宋体" w:cs="Times New Roman"/>
          <w:sz w:val="24"/>
          <w:szCs w:val="24"/>
        </w:rPr>
        <w:t>和</w:t>
      </w:r>
      <w:r w:rsidRPr="002A4B9A">
        <w:rPr>
          <w:rFonts w:ascii="宋体" w:eastAsia="宋体" w:hAnsi="宋体" w:cs="Times New Roman" w:hint="eastAsia"/>
          <w:sz w:val="24"/>
          <w:szCs w:val="24"/>
        </w:rPr>
        <w:t>Na</w:t>
      </w:r>
      <w:r w:rsidRPr="002A4B9A">
        <w:rPr>
          <w:rFonts w:ascii="宋体" w:eastAsia="宋体" w:hAnsi="宋体" w:cs="Times New Roman"/>
          <w:sz w:val="24"/>
          <w:szCs w:val="24"/>
        </w:rPr>
        <w:t>b）与临床有效性比对研究在同一项临床试验中进行</w:t>
      </w:r>
      <w:r w:rsidRPr="002A4B9A">
        <w:rPr>
          <w:rFonts w:ascii="宋体" w:eastAsia="宋体" w:hAnsi="宋体" w:cs="Times New Roman" w:hint="eastAsia"/>
          <w:sz w:val="24"/>
          <w:szCs w:val="24"/>
        </w:rPr>
        <w:t>。推荐所有</w:t>
      </w:r>
      <w:r w:rsidRPr="002A4B9A">
        <w:rPr>
          <w:rFonts w:ascii="宋体" w:eastAsia="宋体" w:hAnsi="宋体" w:cs="Times New Roman"/>
          <w:sz w:val="24"/>
          <w:szCs w:val="24"/>
        </w:rPr>
        <w:t>受试者均应进行免疫原</w:t>
      </w:r>
      <w:r w:rsidRPr="002A4B9A">
        <w:rPr>
          <w:rFonts w:ascii="宋体" w:eastAsia="宋体" w:hAnsi="宋体" w:cs="Times New Roman" w:hint="eastAsia"/>
          <w:sz w:val="24"/>
          <w:szCs w:val="24"/>
        </w:rPr>
        <w:t>性</w:t>
      </w:r>
      <w:r w:rsidRPr="002A4B9A">
        <w:rPr>
          <w:rFonts w:ascii="宋体" w:eastAsia="宋体" w:hAnsi="宋体" w:cs="Times New Roman"/>
          <w:sz w:val="24"/>
          <w:szCs w:val="24"/>
        </w:rPr>
        <w:t>的考察</w:t>
      </w:r>
      <w:r w:rsidR="000423BE" w:rsidRPr="002A4B9A">
        <w:rPr>
          <w:rFonts w:ascii="宋体" w:eastAsia="宋体" w:hAnsi="宋体" w:cs="Times New Roman" w:hint="eastAsia"/>
          <w:sz w:val="24"/>
          <w:szCs w:val="24"/>
        </w:rPr>
        <w:t>，以</w:t>
      </w:r>
      <w:r w:rsidRPr="002A4B9A">
        <w:rPr>
          <w:rFonts w:ascii="宋体" w:eastAsia="宋体" w:hAnsi="宋体" w:cs="Times New Roman"/>
          <w:sz w:val="24"/>
          <w:szCs w:val="24"/>
        </w:rPr>
        <w:t>证实候选药在</w:t>
      </w:r>
      <w:r w:rsidRPr="002A4B9A">
        <w:rPr>
          <w:rFonts w:ascii="宋体" w:eastAsia="宋体" w:hAnsi="宋体" w:cs="Times New Roman" w:hint="eastAsia"/>
          <w:sz w:val="24"/>
          <w:szCs w:val="24"/>
        </w:rPr>
        <w:t>抗体</w:t>
      </w:r>
      <w:r w:rsidRPr="002A4B9A">
        <w:rPr>
          <w:rFonts w:ascii="宋体" w:eastAsia="宋体" w:hAnsi="宋体" w:cs="Times New Roman"/>
          <w:sz w:val="24"/>
          <w:szCs w:val="24"/>
        </w:rPr>
        <w:t>阳性</w:t>
      </w:r>
      <w:r w:rsidRPr="002A4B9A">
        <w:rPr>
          <w:rFonts w:ascii="宋体" w:eastAsia="宋体" w:hAnsi="宋体" w:cs="Times New Roman" w:hint="eastAsia"/>
          <w:sz w:val="24"/>
          <w:szCs w:val="24"/>
        </w:rPr>
        <w:t>率、</w:t>
      </w:r>
      <w:r w:rsidRPr="002A4B9A">
        <w:rPr>
          <w:rFonts w:ascii="宋体" w:eastAsia="宋体" w:hAnsi="宋体" w:cs="Times New Roman"/>
          <w:sz w:val="24"/>
          <w:szCs w:val="24"/>
        </w:rPr>
        <w:t>抗体滴度</w:t>
      </w:r>
      <w:r w:rsidRPr="002A4B9A">
        <w:rPr>
          <w:rFonts w:ascii="宋体" w:eastAsia="宋体" w:hAnsi="宋体" w:cs="Times New Roman" w:hint="eastAsia"/>
          <w:sz w:val="24"/>
          <w:szCs w:val="24"/>
        </w:rPr>
        <w:t>、</w:t>
      </w:r>
      <w:r w:rsidRPr="002A4B9A">
        <w:rPr>
          <w:rFonts w:ascii="宋体" w:eastAsia="宋体" w:hAnsi="宋体" w:cs="Times New Roman"/>
          <w:sz w:val="24"/>
          <w:szCs w:val="24"/>
        </w:rPr>
        <w:t>抗体出现时间</w:t>
      </w:r>
      <w:r w:rsidRPr="002A4B9A">
        <w:rPr>
          <w:rFonts w:ascii="宋体" w:eastAsia="宋体" w:hAnsi="宋体" w:cs="Times New Roman" w:hint="eastAsia"/>
          <w:sz w:val="24"/>
          <w:szCs w:val="24"/>
        </w:rPr>
        <w:t>和中和</w:t>
      </w:r>
      <w:r w:rsidRPr="002A4B9A">
        <w:rPr>
          <w:rFonts w:ascii="宋体" w:eastAsia="宋体" w:hAnsi="宋体" w:cs="Times New Roman"/>
          <w:sz w:val="24"/>
          <w:szCs w:val="24"/>
        </w:rPr>
        <w:t>抗体发生率等方面</w:t>
      </w:r>
      <w:r w:rsidRPr="002A4B9A">
        <w:rPr>
          <w:rFonts w:ascii="宋体" w:eastAsia="宋体" w:hAnsi="宋体" w:cs="Times New Roman" w:hint="eastAsia"/>
          <w:sz w:val="24"/>
          <w:szCs w:val="24"/>
        </w:rPr>
        <w:t>不高于</w:t>
      </w:r>
      <w:r w:rsidRPr="002A4B9A">
        <w:rPr>
          <w:rFonts w:ascii="宋体" w:eastAsia="宋体" w:hAnsi="宋体" w:cs="Times New Roman"/>
          <w:sz w:val="24"/>
          <w:szCs w:val="24"/>
        </w:rPr>
        <w:t>原研药。</w:t>
      </w:r>
      <w:r w:rsidRPr="002A4B9A">
        <w:rPr>
          <w:rFonts w:ascii="宋体" w:eastAsia="宋体" w:hAnsi="宋体"/>
          <w:sz w:val="24"/>
          <w:szCs w:val="24"/>
        </w:rPr>
        <w:t>建议对出现异常情况的患者根据需要适时增加检测点，必要时应考察ADA</w:t>
      </w:r>
      <w:r w:rsidRPr="002A4B9A">
        <w:rPr>
          <w:rFonts w:ascii="宋体" w:eastAsia="宋体" w:hAnsi="宋体" w:cs="宋体" w:hint="eastAsia"/>
          <w:sz w:val="24"/>
          <w:szCs w:val="24"/>
        </w:rPr>
        <w:t>滴度和中和活性等。</w:t>
      </w:r>
      <w:r w:rsidRPr="002A4B9A">
        <w:rPr>
          <w:rFonts w:ascii="宋体" w:eastAsia="宋体" w:hAnsi="宋体" w:cs="Times New Roman" w:hint="eastAsia"/>
          <w:sz w:val="24"/>
          <w:szCs w:val="24"/>
        </w:rPr>
        <w:t>所涉及的研究应证明生物</w:t>
      </w:r>
      <w:proofErr w:type="gramStart"/>
      <w:r w:rsidRPr="002A4B9A">
        <w:rPr>
          <w:rFonts w:ascii="宋体" w:eastAsia="宋体" w:hAnsi="宋体" w:cs="Times New Roman" w:hint="eastAsia"/>
          <w:sz w:val="24"/>
          <w:szCs w:val="24"/>
        </w:rPr>
        <w:t>类似药</w:t>
      </w:r>
      <w:proofErr w:type="gramEnd"/>
      <w:r w:rsidRPr="002A4B9A">
        <w:rPr>
          <w:rFonts w:ascii="宋体" w:eastAsia="宋体" w:hAnsi="宋体" w:cs="Times New Roman" w:hint="eastAsia"/>
          <w:sz w:val="24"/>
          <w:szCs w:val="24"/>
        </w:rPr>
        <w:t>与原研药在免疫原性方</w:t>
      </w:r>
      <w:r w:rsidRPr="002A4B9A">
        <w:rPr>
          <w:rFonts w:ascii="宋体" w:eastAsia="宋体" w:hAnsi="宋体" w:cs="Times New Roman" w:hint="eastAsia"/>
          <w:sz w:val="24"/>
          <w:szCs w:val="24"/>
        </w:rPr>
        <w:lastRenderedPageBreak/>
        <w:t>面应不具有临床意义的差别。</w:t>
      </w:r>
    </w:p>
    <w:p w14:paraId="4119A2F0" w14:textId="77777777" w:rsidR="0096753E" w:rsidRPr="002A4B9A" w:rsidRDefault="00E462BE">
      <w:pPr>
        <w:spacing w:line="360" w:lineRule="auto"/>
        <w:ind w:firstLineChars="200" w:firstLine="480"/>
        <w:rPr>
          <w:rFonts w:ascii="宋体" w:eastAsia="宋体" w:hAnsi="宋体" w:cs="Times New Roman"/>
          <w:sz w:val="24"/>
          <w:szCs w:val="24"/>
        </w:rPr>
      </w:pPr>
      <w:r w:rsidRPr="002A4B9A">
        <w:rPr>
          <w:rFonts w:ascii="宋体" w:eastAsia="宋体" w:hAnsi="宋体" w:cs="Times New Roman"/>
          <w:bCs/>
          <w:sz w:val="24"/>
          <w:szCs w:val="24"/>
        </w:rPr>
        <w:t>安全性</w:t>
      </w:r>
      <w:r w:rsidRPr="002A4B9A">
        <w:rPr>
          <w:rFonts w:ascii="宋体" w:eastAsia="宋体" w:hAnsi="宋体" w:cs="Times New Roman" w:hint="eastAsia"/>
          <w:bCs/>
          <w:sz w:val="24"/>
          <w:szCs w:val="24"/>
        </w:rPr>
        <w:t>考察</w:t>
      </w:r>
      <w:r w:rsidRPr="002A4B9A">
        <w:rPr>
          <w:rFonts w:ascii="宋体" w:eastAsia="宋体" w:hAnsi="宋体" w:cs="Times New Roman"/>
          <w:bCs/>
          <w:sz w:val="24"/>
          <w:szCs w:val="24"/>
        </w:rPr>
        <w:t>在药代和有效性比对试验研究中</w:t>
      </w:r>
      <w:r w:rsidRPr="002A4B9A">
        <w:rPr>
          <w:rFonts w:ascii="宋体" w:eastAsia="宋体" w:hAnsi="宋体" w:cs="Times New Roman" w:hint="eastAsia"/>
          <w:bCs/>
          <w:sz w:val="24"/>
          <w:szCs w:val="24"/>
        </w:rPr>
        <w:t>均</w:t>
      </w:r>
      <w:r w:rsidRPr="002A4B9A">
        <w:rPr>
          <w:rFonts w:ascii="宋体" w:eastAsia="宋体" w:hAnsi="宋体" w:cs="Times New Roman"/>
          <w:bCs/>
          <w:sz w:val="24"/>
          <w:szCs w:val="24"/>
        </w:rPr>
        <w:t>应进行</w:t>
      </w:r>
      <w:r w:rsidRPr="002A4B9A">
        <w:rPr>
          <w:rFonts w:ascii="宋体" w:eastAsia="宋体" w:hAnsi="宋体" w:cs="Times New Roman" w:hint="eastAsia"/>
          <w:bCs/>
          <w:sz w:val="24"/>
          <w:szCs w:val="24"/>
        </w:rPr>
        <w:t>考察</w:t>
      </w:r>
      <w:r w:rsidRPr="002A4B9A">
        <w:rPr>
          <w:rFonts w:ascii="宋体" w:eastAsia="宋体" w:hAnsi="宋体" w:cs="Times New Roman"/>
          <w:bCs/>
          <w:sz w:val="24"/>
          <w:szCs w:val="24"/>
        </w:rPr>
        <w:t>，</w:t>
      </w:r>
      <w:r w:rsidRPr="002A4B9A">
        <w:rPr>
          <w:rFonts w:ascii="宋体" w:eastAsia="宋体" w:hAnsi="宋体" w:cs="Times New Roman"/>
          <w:sz w:val="24"/>
          <w:szCs w:val="24"/>
        </w:rPr>
        <w:t>对不良反应发生的类型、严重性和频率等进行比较，尤其是特</w:t>
      </w:r>
      <w:r w:rsidRPr="002A4B9A">
        <w:rPr>
          <w:rFonts w:ascii="宋体" w:eastAsia="宋体" w:hAnsi="宋体" w:cs="Times New Roman" w:hint="eastAsia"/>
          <w:sz w:val="24"/>
          <w:szCs w:val="24"/>
        </w:rPr>
        <w:t>定</w:t>
      </w:r>
      <w:r w:rsidRPr="002A4B9A">
        <w:rPr>
          <w:rFonts w:ascii="宋体" w:eastAsia="宋体" w:hAnsi="宋体" w:cs="Times New Roman"/>
          <w:sz w:val="24"/>
          <w:szCs w:val="24"/>
        </w:rPr>
        <w:t>的重点关注的不良反应。</w:t>
      </w:r>
    </w:p>
    <w:p w14:paraId="0F8C98BF" w14:textId="77777777" w:rsidR="0096753E" w:rsidRDefault="00E462BE">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四、小结</w:t>
      </w:r>
    </w:p>
    <w:p w14:paraId="1FCC9CC6" w14:textId="77777777" w:rsidR="0096753E" w:rsidRDefault="00E462BE">
      <w:pPr>
        <w:spacing w:line="360" w:lineRule="auto"/>
        <w:ind w:firstLineChars="200" w:firstLine="480"/>
        <w:rPr>
          <w:rFonts w:ascii="Times New Roman" w:eastAsia="宋体" w:hAnsi="Times New Roman" w:cs="Times New Roman"/>
          <w:sz w:val="24"/>
          <w:szCs w:val="28"/>
        </w:rPr>
      </w:pPr>
      <w:proofErr w:type="gramStart"/>
      <w:r>
        <w:rPr>
          <w:rFonts w:ascii="Times New Roman" w:eastAsia="宋体" w:hAnsi="Times New Roman" w:cs="Times New Roman" w:hint="eastAsia"/>
          <w:sz w:val="24"/>
          <w:szCs w:val="28"/>
        </w:rPr>
        <w:t>利妥昔</w:t>
      </w:r>
      <w:r>
        <w:rPr>
          <w:rFonts w:ascii="Times New Roman" w:eastAsia="宋体" w:hAnsi="Times New Roman" w:cs="Times New Roman"/>
          <w:sz w:val="24"/>
          <w:szCs w:val="28"/>
        </w:rPr>
        <w:t>单抗生物类似药</w:t>
      </w:r>
      <w:proofErr w:type="gramEnd"/>
      <w:r>
        <w:rPr>
          <w:rFonts w:ascii="Times New Roman" w:eastAsia="宋体" w:hAnsi="Times New Roman" w:cs="Times New Roman"/>
          <w:sz w:val="24"/>
          <w:szCs w:val="28"/>
        </w:rPr>
        <w:t>临床相似性研究应遵循生物</w:t>
      </w:r>
      <w:proofErr w:type="gramStart"/>
      <w:r>
        <w:rPr>
          <w:rFonts w:ascii="Times New Roman" w:eastAsia="宋体" w:hAnsi="Times New Roman" w:cs="Times New Roman"/>
          <w:sz w:val="24"/>
          <w:szCs w:val="28"/>
        </w:rPr>
        <w:t>类似药</w:t>
      </w:r>
      <w:proofErr w:type="gramEnd"/>
      <w:r>
        <w:rPr>
          <w:rFonts w:ascii="Times New Roman" w:eastAsia="宋体" w:hAnsi="Times New Roman" w:cs="Times New Roman"/>
          <w:sz w:val="24"/>
          <w:szCs w:val="28"/>
        </w:rPr>
        <w:t>临床相似性评价的一般原则，即应当在有合理科学依据的前提下尽可能的简化，以能证实候选药与原研药相似性为目标，同时兼顾该品种的特性，进行有针对性的临床比对研究设计。鼓励研发企业与管理部门</w:t>
      </w:r>
      <w:r>
        <w:rPr>
          <w:rFonts w:ascii="Times New Roman" w:eastAsia="宋体" w:hAnsi="Times New Roman" w:cs="Times New Roman" w:hint="eastAsia"/>
          <w:sz w:val="24"/>
          <w:szCs w:val="28"/>
        </w:rPr>
        <w:t>进行</w:t>
      </w:r>
      <w:r>
        <w:rPr>
          <w:rFonts w:ascii="Times New Roman" w:eastAsia="宋体" w:hAnsi="Times New Roman" w:cs="Times New Roman"/>
          <w:sz w:val="24"/>
          <w:szCs w:val="28"/>
        </w:rPr>
        <w:t>沟通，探索更</w:t>
      </w:r>
      <w:r>
        <w:rPr>
          <w:rFonts w:ascii="Times New Roman" w:eastAsia="宋体" w:hAnsi="Times New Roman" w:cs="Times New Roman" w:hint="eastAsia"/>
          <w:sz w:val="24"/>
          <w:szCs w:val="28"/>
        </w:rPr>
        <w:t>加</w:t>
      </w:r>
      <w:r>
        <w:rPr>
          <w:rFonts w:ascii="Times New Roman" w:eastAsia="宋体" w:hAnsi="Times New Roman" w:cs="Times New Roman"/>
          <w:sz w:val="24"/>
          <w:szCs w:val="28"/>
        </w:rPr>
        <w:t>简便高效的研究设计方法。</w:t>
      </w:r>
    </w:p>
    <w:p w14:paraId="07A7130D" w14:textId="77777777" w:rsidR="0096753E" w:rsidRDefault="0096753E">
      <w:pPr>
        <w:spacing w:line="360" w:lineRule="auto"/>
        <w:ind w:firstLineChars="200" w:firstLine="480"/>
        <w:rPr>
          <w:rFonts w:ascii="Times New Roman" w:eastAsia="宋体" w:hAnsi="Times New Roman" w:cs="Times New Roman"/>
          <w:sz w:val="24"/>
          <w:szCs w:val="28"/>
        </w:rPr>
      </w:pPr>
    </w:p>
    <w:p w14:paraId="7E634CD3" w14:textId="77777777" w:rsidR="00D83154" w:rsidRDefault="00D83154">
      <w:pPr>
        <w:spacing w:line="360" w:lineRule="auto"/>
        <w:ind w:firstLineChars="200" w:firstLine="480"/>
        <w:rPr>
          <w:rFonts w:ascii="Times New Roman" w:eastAsia="宋体" w:hAnsi="Times New Roman" w:cs="Times New Roman"/>
          <w:sz w:val="24"/>
          <w:szCs w:val="28"/>
        </w:rPr>
        <w:sectPr w:rsidR="00D83154">
          <w:footerReference w:type="default" r:id="rId9"/>
          <w:pgSz w:w="11906" w:h="16838"/>
          <w:pgMar w:top="1440" w:right="1800" w:bottom="1440" w:left="1800" w:header="851" w:footer="992" w:gutter="0"/>
          <w:cols w:space="425"/>
          <w:docGrid w:type="lines" w:linePitch="312"/>
        </w:sectPr>
      </w:pPr>
    </w:p>
    <w:p w14:paraId="1A61463F" w14:textId="77777777" w:rsidR="0096753E" w:rsidRDefault="00E462BE">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lastRenderedPageBreak/>
        <w:t>表</w:t>
      </w:r>
      <w:r>
        <w:rPr>
          <w:rFonts w:ascii="Times New Roman" w:eastAsia="宋体" w:hAnsi="Times New Roman" w:cs="Times New Roman" w:hint="eastAsia"/>
          <w:b/>
          <w:sz w:val="24"/>
          <w:szCs w:val="28"/>
        </w:rPr>
        <w:t xml:space="preserve">1 </w:t>
      </w:r>
      <w:proofErr w:type="gramStart"/>
      <w:r>
        <w:rPr>
          <w:rFonts w:ascii="Times New Roman" w:eastAsia="宋体" w:hAnsi="Times New Roman" w:cs="Times New Roman" w:hint="eastAsia"/>
          <w:b/>
          <w:sz w:val="24"/>
          <w:szCs w:val="28"/>
        </w:rPr>
        <w:t>利妥昔单</w:t>
      </w:r>
      <w:proofErr w:type="gramEnd"/>
      <w:r>
        <w:rPr>
          <w:rFonts w:ascii="Times New Roman" w:eastAsia="宋体" w:hAnsi="Times New Roman" w:cs="Times New Roman" w:hint="eastAsia"/>
          <w:b/>
          <w:sz w:val="24"/>
          <w:szCs w:val="28"/>
        </w:rPr>
        <w:t>抗</w:t>
      </w:r>
      <w:r w:rsidR="00D50DBC">
        <w:rPr>
          <w:rFonts w:ascii="Times New Roman" w:eastAsia="宋体" w:hAnsi="Times New Roman" w:cs="Times New Roman" w:hint="eastAsia"/>
          <w:b/>
          <w:sz w:val="24"/>
          <w:szCs w:val="28"/>
        </w:rPr>
        <w:t>注射液</w:t>
      </w:r>
      <w:r>
        <w:rPr>
          <w:rFonts w:ascii="Times New Roman" w:eastAsia="宋体" w:hAnsi="Times New Roman" w:cs="Times New Roman"/>
          <w:b/>
          <w:sz w:val="24"/>
          <w:szCs w:val="28"/>
        </w:rPr>
        <w:t>在美国、欧盟和国内批准的适应症</w:t>
      </w:r>
    </w:p>
    <w:tbl>
      <w:tblPr>
        <w:tblStyle w:val="a3"/>
        <w:tblW w:w="13745" w:type="dxa"/>
        <w:tblLook w:val="04A0" w:firstRow="1" w:lastRow="0" w:firstColumn="1" w:lastColumn="0" w:noHBand="0" w:noVBand="1"/>
      </w:tblPr>
      <w:tblGrid>
        <w:gridCol w:w="2830"/>
        <w:gridCol w:w="5670"/>
        <w:gridCol w:w="5245"/>
      </w:tblGrid>
      <w:tr w:rsidR="0003040D" w:rsidRPr="00174C10" w14:paraId="42205044" w14:textId="77777777" w:rsidTr="00D83154">
        <w:tc>
          <w:tcPr>
            <w:tcW w:w="2830" w:type="dxa"/>
          </w:tcPr>
          <w:p w14:paraId="38F73C4B" w14:textId="77777777" w:rsidR="0003040D" w:rsidRPr="00174C10" w:rsidRDefault="0003040D" w:rsidP="0026615C">
            <w:pPr>
              <w:pStyle w:val="Default"/>
              <w:spacing w:line="360" w:lineRule="auto"/>
              <w:contextualSpacing/>
              <w:jc w:val="center"/>
              <w:rPr>
                <w:rFonts w:hAnsi="宋体" w:cs="Times New Roman"/>
                <w:b/>
                <w:sz w:val="20"/>
                <w:szCs w:val="20"/>
              </w:rPr>
            </w:pPr>
          </w:p>
        </w:tc>
        <w:tc>
          <w:tcPr>
            <w:tcW w:w="5670" w:type="dxa"/>
          </w:tcPr>
          <w:p w14:paraId="7FD0DB84" w14:textId="77777777" w:rsidR="0003040D" w:rsidRPr="00174C10" w:rsidRDefault="0003040D" w:rsidP="0026615C">
            <w:pPr>
              <w:pStyle w:val="Default"/>
              <w:spacing w:line="360" w:lineRule="auto"/>
              <w:contextualSpacing/>
              <w:jc w:val="center"/>
              <w:rPr>
                <w:rFonts w:hAnsi="宋体" w:cs="Times New Roman"/>
                <w:b/>
                <w:sz w:val="20"/>
                <w:szCs w:val="20"/>
              </w:rPr>
            </w:pPr>
            <w:r w:rsidRPr="00174C10">
              <w:rPr>
                <w:rFonts w:hAnsi="宋体" w:cs="Times New Roman" w:hint="eastAsia"/>
                <w:b/>
                <w:sz w:val="20"/>
                <w:szCs w:val="20"/>
              </w:rPr>
              <w:t>适应症</w:t>
            </w:r>
          </w:p>
        </w:tc>
        <w:tc>
          <w:tcPr>
            <w:tcW w:w="5245" w:type="dxa"/>
          </w:tcPr>
          <w:p w14:paraId="0A8241BB" w14:textId="77777777" w:rsidR="0003040D" w:rsidRPr="00174C10" w:rsidRDefault="0003040D" w:rsidP="0026615C">
            <w:pPr>
              <w:pStyle w:val="Default"/>
              <w:spacing w:line="360" w:lineRule="auto"/>
              <w:contextualSpacing/>
              <w:jc w:val="center"/>
              <w:rPr>
                <w:rFonts w:hAnsi="宋体" w:cs="Times New Roman"/>
                <w:b/>
                <w:sz w:val="20"/>
                <w:szCs w:val="20"/>
              </w:rPr>
            </w:pPr>
            <w:proofErr w:type="gramStart"/>
            <w:r w:rsidRPr="00174C10">
              <w:rPr>
                <w:rFonts w:hAnsi="宋体" w:cs="Times New Roman" w:hint="eastAsia"/>
                <w:b/>
                <w:sz w:val="20"/>
                <w:szCs w:val="20"/>
              </w:rPr>
              <w:t>利妥昔单</w:t>
            </w:r>
            <w:proofErr w:type="gramEnd"/>
            <w:r w:rsidRPr="00174C10">
              <w:rPr>
                <w:rFonts w:hAnsi="宋体" w:cs="Times New Roman" w:hint="eastAsia"/>
                <w:b/>
                <w:sz w:val="20"/>
                <w:szCs w:val="20"/>
              </w:rPr>
              <w:t>抗剂量</w:t>
            </w:r>
          </w:p>
        </w:tc>
      </w:tr>
      <w:tr w:rsidR="0003040D" w:rsidRPr="00174C10" w14:paraId="52511699" w14:textId="77777777" w:rsidTr="00D83154">
        <w:tc>
          <w:tcPr>
            <w:tcW w:w="2830" w:type="dxa"/>
            <w:vMerge w:val="restart"/>
          </w:tcPr>
          <w:p w14:paraId="7A6A4319" w14:textId="20785EFF" w:rsidR="0003040D" w:rsidRPr="00E77092" w:rsidRDefault="00D83154" w:rsidP="0026615C">
            <w:pPr>
              <w:pStyle w:val="Default"/>
              <w:spacing w:line="360" w:lineRule="auto"/>
              <w:contextualSpacing/>
              <w:jc w:val="both"/>
              <w:rPr>
                <w:rFonts w:hAnsi="宋体" w:cs="Times New Roman"/>
                <w:b/>
                <w:color w:val="auto"/>
                <w:sz w:val="20"/>
                <w:szCs w:val="20"/>
              </w:rPr>
            </w:pPr>
            <w:r>
              <w:rPr>
                <w:rFonts w:hAnsi="宋体" w:cs="Times New Roman" w:hint="eastAsia"/>
                <w:b/>
                <w:color w:val="auto"/>
                <w:sz w:val="20"/>
                <w:szCs w:val="20"/>
              </w:rPr>
              <w:t>在美国</w:t>
            </w:r>
            <w:r w:rsidR="0003040D" w:rsidRPr="00E77092">
              <w:rPr>
                <w:rFonts w:hAnsi="宋体" w:cs="Times New Roman" w:hint="eastAsia"/>
                <w:b/>
                <w:color w:val="auto"/>
                <w:sz w:val="20"/>
                <w:szCs w:val="20"/>
              </w:rPr>
              <w:t>FDA</w:t>
            </w:r>
            <w:r>
              <w:rPr>
                <w:rFonts w:hAnsi="宋体" w:cs="Times New Roman" w:hint="eastAsia"/>
                <w:b/>
                <w:color w:val="auto"/>
                <w:sz w:val="20"/>
                <w:szCs w:val="20"/>
              </w:rPr>
              <w:t>（商品名</w:t>
            </w:r>
            <w:r w:rsidRPr="00E77092">
              <w:rPr>
                <w:rFonts w:hAnsi="宋体"/>
                <w:b/>
                <w:color w:val="auto"/>
                <w:sz w:val="20"/>
                <w:szCs w:val="20"/>
              </w:rPr>
              <w:t>RITUXAN</w:t>
            </w:r>
            <w:r w:rsidR="00694875">
              <w:rPr>
                <w:rFonts w:hAnsi="宋体" w:hint="eastAsia"/>
              </w:rPr>
              <w:t>®</w:t>
            </w:r>
            <w:r>
              <w:rPr>
                <w:rFonts w:hAnsi="宋体" w:cs="Times New Roman" w:hint="eastAsia"/>
                <w:b/>
                <w:color w:val="auto"/>
                <w:sz w:val="20"/>
                <w:szCs w:val="20"/>
              </w:rPr>
              <w:t>）及</w:t>
            </w:r>
            <w:r>
              <w:rPr>
                <w:rFonts w:hAnsi="宋体" w:cs="Times New Roman"/>
                <w:b/>
                <w:color w:val="auto"/>
                <w:sz w:val="20"/>
                <w:szCs w:val="20"/>
              </w:rPr>
              <w:t>欧盟</w:t>
            </w:r>
            <w:r>
              <w:rPr>
                <w:rFonts w:hAnsi="宋体" w:cs="Times New Roman" w:hint="eastAsia"/>
                <w:b/>
                <w:color w:val="auto"/>
                <w:sz w:val="20"/>
                <w:szCs w:val="20"/>
              </w:rPr>
              <w:t>（商品名</w:t>
            </w:r>
            <w:r w:rsidRPr="00E77092">
              <w:rPr>
                <w:rFonts w:hAnsi="宋体" w:hint="eastAsia"/>
                <w:b/>
                <w:color w:val="auto"/>
                <w:sz w:val="20"/>
                <w:szCs w:val="20"/>
              </w:rPr>
              <w:t>Mab Thera</w:t>
            </w:r>
            <w:r w:rsidR="00694875">
              <w:rPr>
                <w:rFonts w:hAnsi="宋体" w:hint="eastAsia"/>
              </w:rPr>
              <w:t>®</w:t>
            </w:r>
            <w:r>
              <w:rPr>
                <w:rFonts w:hAnsi="宋体" w:cs="Times New Roman" w:hint="eastAsia"/>
                <w:b/>
                <w:color w:val="auto"/>
                <w:sz w:val="20"/>
                <w:szCs w:val="20"/>
              </w:rPr>
              <w:t>）批准</w:t>
            </w:r>
            <w:r>
              <w:rPr>
                <w:rFonts w:hAnsi="宋体" w:cs="Times New Roman"/>
                <w:b/>
                <w:color w:val="auto"/>
                <w:sz w:val="20"/>
                <w:szCs w:val="20"/>
              </w:rPr>
              <w:t>情况</w:t>
            </w:r>
          </w:p>
          <w:p w14:paraId="599CFD08" w14:textId="12B8D3E0" w:rsidR="0003040D" w:rsidRPr="00E77092" w:rsidRDefault="0003040D" w:rsidP="0026615C">
            <w:pPr>
              <w:pStyle w:val="Default"/>
              <w:spacing w:line="360" w:lineRule="auto"/>
              <w:contextualSpacing/>
              <w:jc w:val="both"/>
              <w:rPr>
                <w:rFonts w:hAnsi="宋体" w:cs="Times New Roman"/>
                <w:b/>
                <w:color w:val="auto"/>
                <w:sz w:val="20"/>
                <w:szCs w:val="20"/>
              </w:rPr>
            </w:pPr>
          </w:p>
        </w:tc>
        <w:tc>
          <w:tcPr>
            <w:tcW w:w="5670" w:type="dxa"/>
          </w:tcPr>
          <w:p w14:paraId="76A40BEC" w14:textId="77777777" w:rsidR="0003040D" w:rsidRPr="00174C10" w:rsidRDefault="0003040D" w:rsidP="0026615C">
            <w:pPr>
              <w:rPr>
                <w:rFonts w:ascii="宋体" w:eastAsia="宋体" w:hAnsi="宋体"/>
                <w:b/>
              </w:rPr>
            </w:pPr>
            <w:r w:rsidRPr="00174C10">
              <w:rPr>
                <w:rFonts w:ascii="宋体" w:eastAsia="宋体" w:hAnsi="宋体" w:hint="eastAsia"/>
                <w:b/>
              </w:rPr>
              <w:t>非霍奇金淋巴瘤</w:t>
            </w:r>
          </w:p>
          <w:p w14:paraId="0E6A4BC8" w14:textId="77777777" w:rsidR="0003040D" w:rsidRPr="00E77092" w:rsidRDefault="0003040D" w:rsidP="0026615C">
            <w:pPr>
              <w:numPr>
                <w:ilvl w:val="0"/>
                <w:numId w:val="1"/>
              </w:numPr>
              <w:rPr>
                <w:rFonts w:ascii="宋体" w:eastAsia="宋体" w:hAnsi="宋体"/>
              </w:rPr>
            </w:pPr>
            <w:r w:rsidRPr="00E77092">
              <w:rPr>
                <w:rFonts w:ascii="宋体" w:eastAsia="宋体" w:hAnsi="宋体" w:hint="eastAsia"/>
              </w:rPr>
              <w:t>复发性或难治性、低级别或滤泡性、</w:t>
            </w:r>
            <w:r w:rsidRPr="00E77092">
              <w:rPr>
                <w:rFonts w:ascii="宋体" w:eastAsia="宋体" w:hAnsi="宋体"/>
              </w:rPr>
              <w:t>CD20阳性的B细胞性NHL，单药治疗；</w:t>
            </w:r>
          </w:p>
          <w:p w14:paraId="1EE9F2A1" w14:textId="77777777" w:rsidR="0003040D" w:rsidRPr="00174C10" w:rsidRDefault="0003040D" w:rsidP="0026615C">
            <w:pPr>
              <w:numPr>
                <w:ilvl w:val="0"/>
                <w:numId w:val="1"/>
              </w:numPr>
              <w:rPr>
                <w:rFonts w:ascii="宋体" w:eastAsia="宋体" w:hAnsi="宋体"/>
              </w:rPr>
            </w:pPr>
            <w:r w:rsidRPr="00174C10">
              <w:rPr>
                <w:rFonts w:ascii="宋体" w:eastAsia="宋体" w:hAnsi="宋体" w:hint="eastAsia"/>
              </w:rPr>
              <w:t>滤泡性</w:t>
            </w:r>
            <w:r w:rsidRPr="00174C10">
              <w:rPr>
                <w:rFonts w:ascii="宋体" w:eastAsia="宋体" w:hAnsi="宋体"/>
              </w:rPr>
              <w:t>CD20阳性B细胞性NHL初治患者，与一线化疗联合使用以及在RITUXAN联合化疗后达完全或部分缓解的患者中单药维持治疗；</w:t>
            </w:r>
          </w:p>
          <w:p w14:paraId="100DBC18" w14:textId="77777777" w:rsidR="0003040D" w:rsidRPr="00174C10" w:rsidRDefault="0003040D" w:rsidP="0026615C">
            <w:pPr>
              <w:ind w:left="420"/>
              <w:rPr>
                <w:rFonts w:ascii="宋体" w:eastAsia="宋体" w:hAnsi="宋体"/>
              </w:rPr>
            </w:pPr>
          </w:p>
          <w:p w14:paraId="79F5A1A2" w14:textId="77777777" w:rsidR="0003040D" w:rsidRPr="00174C10" w:rsidRDefault="0003040D" w:rsidP="0026615C">
            <w:pPr>
              <w:numPr>
                <w:ilvl w:val="0"/>
                <w:numId w:val="1"/>
              </w:numPr>
              <w:rPr>
                <w:rFonts w:ascii="宋体" w:eastAsia="宋体" w:hAnsi="宋体"/>
              </w:rPr>
            </w:pPr>
            <w:r w:rsidRPr="00174C10">
              <w:rPr>
                <w:rFonts w:ascii="宋体" w:eastAsia="宋体" w:hAnsi="宋体" w:hint="eastAsia"/>
              </w:rPr>
              <w:t>非进展性（包括疾病稳定）、低级别、</w:t>
            </w:r>
            <w:r w:rsidRPr="00174C10">
              <w:rPr>
                <w:rFonts w:ascii="宋体" w:eastAsia="宋体" w:hAnsi="宋体"/>
              </w:rPr>
              <w:t>CD20阳性B细胞性NHL患者，</w:t>
            </w:r>
            <w:proofErr w:type="gramStart"/>
            <w:r w:rsidRPr="00174C10">
              <w:rPr>
                <w:rFonts w:ascii="宋体" w:eastAsia="宋体" w:hAnsi="宋体"/>
              </w:rPr>
              <w:t>一线环</w:t>
            </w:r>
            <w:proofErr w:type="gramEnd"/>
            <w:r w:rsidRPr="00174C10">
              <w:rPr>
                <w:rFonts w:ascii="宋体" w:eastAsia="宋体" w:hAnsi="宋体"/>
              </w:rPr>
              <w:t>磷酰胺、长春新</w:t>
            </w:r>
            <w:proofErr w:type="gramStart"/>
            <w:r w:rsidRPr="00174C10">
              <w:rPr>
                <w:rFonts w:ascii="宋体" w:eastAsia="宋体" w:hAnsi="宋体"/>
              </w:rPr>
              <w:t>碱和泼尼</w:t>
            </w:r>
            <w:proofErr w:type="gramEnd"/>
            <w:r w:rsidRPr="00174C10">
              <w:rPr>
                <w:rFonts w:ascii="宋体" w:eastAsia="宋体" w:hAnsi="宋体"/>
              </w:rPr>
              <w:t>松（CVP）化疗后的单药治疗；</w:t>
            </w:r>
          </w:p>
          <w:p w14:paraId="5F46B78A" w14:textId="77777777" w:rsidR="0003040D" w:rsidRPr="00174C10" w:rsidRDefault="0003040D" w:rsidP="0026615C">
            <w:pPr>
              <w:numPr>
                <w:ilvl w:val="0"/>
                <w:numId w:val="1"/>
              </w:numPr>
              <w:rPr>
                <w:rFonts w:ascii="宋体" w:eastAsia="宋体" w:hAnsi="宋体"/>
              </w:rPr>
            </w:pPr>
            <w:r w:rsidRPr="00174C10">
              <w:rPr>
                <w:rFonts w:ascii="宋体" w:eastAsia="宋体" w:hAnsi="宋体" w:hint="eastAsia"/>
              </w:rPr>
              <w:t>初治的</w:t>
            </w:r>
            <w:r w:rsidRPr="00174C10">
              <w:rPr>
                <w:rFonts w:ascii="宋体" w:eastAsia="宋体" w:hAnsi="宋体"/>
              </w:rPr>
              <w:t>CD20阳性弥漫大B细胞</w:t>
            </w:r>
            <w:r w:rsidRPr="00174C10">
              <w:rPr>
                <w:rFonts w:ascii="宋体" w:eastAsia="宋体" w:hAnsi="宋体" w:hint="eastAsia"/>
              </w:rPr>
              <w:t>淋巴瘤</w:t>
            </w:r>
            <w:r w:rsidRPr="00174C10">
              <w:rPr>
                <w:rFonts w:ascii="宋体" w:eastAsia="宋体" w:hAnsi="宋体"/>
              </w:rPr>
              <w:t>患者，与环磷酰胺、</w:t>
            </w:r>
            <w:proofErr w:type="gramStart"/>
            <w:r w:rsidRPr="00174C10">
              <w:rPr>
                <w:rFonts w:ascii="宋体" w:eastAsia="宋体" w:hAnsi="宋体"/>
              </w:rPr>
              <w:t>多柔比</w:t>
            </w:r>
            <w:proofErr w:type="gramEnd"/>
            <w:r w:rsidRPr="00174C10">
              <w:rPr>
                <w:rFonts w:ascii="宋体" w:eastAsia="宋体" w:hAnsi="宋体"/>
              </w:rPr>
              <w:t>星、长春新</w:t>
            </w:r>
            <w:proofErr w:type="gramStart"/>
            <w:r w:rsidRPr="00174C10">
              <w:rPr>
                <w:rFonts w:ascii="宋体" w:eastAsia="宋体" w:hAnsi="宋体"/>
              </w:rPr>
              <w:t>碱和泼尼</w:t>
            </w:r>
            <w:proofErr w:type="gramEnd"/>
            <w:r w:rsidRPr="00174C10">
              <w:rPr>
                <w:rFonts w:ascii="宋体" w:eastAsia="宋体" w:hAnsi="宋体"/>
              </w:rPr>
              <w:t>松（CHOP）或其他</w:t>
            </w:r>
            <w:proofErr w:type="gramStart"/>
            <w:r w:rsidRPr="00174C10">
              <w:rPr>
                <w:rFonts w:ascii="宋体" w:eastAsia="宋体" w:hAnsi="宋体"/>
              </w:rPr>
              <w:t>蒽</w:t>
            </w:r>
            <w:proofErr w:type="gramEnd"/>
            <w:r w:rsidRPr="00174C10">
              <w:rPr>
                <w:rFonts w:ascii="宋体" w:eastAsia="宋体" w:hAnsi="宋体"/>
              </w:rPr>
              <w:t>环类</w:t>
            </w:r>
            <w:r w:rsidRPr="00174C10">
              <w:rPr>
                <w:rFonts w:ascii="宋体" w:eastAsia="宋体" w:hAnsi="宋体" w:hint="eastAsia"/>
              </w:rPr>
              <w:t>药物</w:t>
            </w:r>
            <w:r w:rsidRPr="00174C10">
              <w:rPr>
                <w:rFonts w:ascii="宋体" w:eastAsia="宋体" w:hAnsi="宋体"/>
              </w:rPr>
              <w:t>为基础的化疗方案</w:t>
            </w:r>
            <w:r w:rsidRPr="00174C10">
              <w:rPr>
                <w:rFonts w:ascii="宋体" w:eastAsia="宋体" w:hAnsi="宋体" w:hint="eastAsia"/>
              </w:rPr>
              <w:t>联合使用</w:t>
            </w:r>
            <w:r w:rsidRPr="00174C10">
              <w:rPr>
                <w:rFonts w:ascii="宋体" w:eastAsia="宋体" w:hAnsi="宋体"/>
              </w:rPr>
              <w:t>。</w:t>
            </w:r>
          </w:p>
        </w:tc>
        <w:tc>
          <w:tcPr>
            <w:tcW w:w="5245" w:type="dxa"/>
          </w:tcPr>
          <w:p w14:paraId="36FC145B" w14:textId="77777777" w:rsidR="0003040D" w:rsidRPr="00174C10" w:rsidRDefault="0003040D" w:rsidP="0026615C">
            <w:pPr>
              <w:pStyle w:val="Default"/>
              <w:contextualSpacing/>
              <w:jc w:val="both"/>
              <w:rPr>
                <w:rFonts w:hAnsi="宋体" w:cs="Times New Roman"/>
                <w:sz w:val="20"/>
                <w:szCs w:val="20"/>
              </w:rPr>
            </w:pPr>
            <w:r w:rsidRPr="00174C10">
              <w:rPr>
                <w:rFonts w:hAnsi="宋体" w:cstheme="minorBidi" w:hint="eastAsia"/>
                <w:b/>
                <w:color w:val="auto"/>
                <w:kern w:val="2"/>
                <w:sz w:val="20"/>
                <w:szCs w:val="20"/>
              </w:rPr>
              <w:t>375 mg/m</w:t>
            </w:r>
            <w:r w:rsidRPr="00174C10">
              <w:rPr>
                <w:rFonts w:hAnsi="宋体" w:cstheme="minorBidi" w:hint="eastAsia"/>
                <w:b/>
                <w:color w:val="auto"/>
                <w:kern w:val="2"/>
                <w:sz w:val="20"/>
                <w:szCs w:val="20"/>
                <w:vertAlign w:val="superscript"/>
              </w:rPr>
              <w:t>2</w:t>
            </w:r>
            <w:r w:rsidRPr="00174C10">
              <w:rPr>
                <w:rFonts w:hAnsi="宋体" w:cstheme="minorBidi"/>
                <w:b/>
                <w:color w:val="auto"/>
                <w:kern w:val="2"/>
                <w:sz w:val="20"/>
                <w:szCs w:val="20"/>
                <w:vertAlign w:val="superscript"/>
              </w:rPr>
              <w:t xml:space="preserve"> </w:t>
            </w:r>
            <w:r w:rsidRPr="00174C10">
              <w:rPr>
                <w:rFonts w:hAnsi="宋体" w:cstheme="minorBidi" w:hint="eastAsia"/>
                <w:b/>
                <w:color w:val="auto"/>
                <w:kern w:val="2"/>
                <w:sz w:val="20"/>
                <w:szCs w:val="20"/>
              </w:rPr>
              <w:t>静脉输注</w:t>
            </w:r>
            <w:r w:rsidRPr="00174C10">
              <w:rPr>
                <w:rFonts w:hAnsi="宋体" w:cs="Times New Roman" w:hint="eastAsia"/>
                <w:sz w:val="20"/>
                <w:szCs w:val="20"/>
              </w:rPr>
              <w:t>：</w:t>
            </w:r>
          </w:p>
          <w:p w14:paraId="7FA5BE1F" w14:textId="77777777" w:rsidR="0003040D" w:rsidRPr="00174C10" w:rsidRDefault="0003040D" w:rsidP="0003040D">
            <w:pPr>
              <w:pStyle w:val="a5"/>
              <w:widowControl/>
              <w:numPr>
                <w:ilvl w:val="0"/>
                <w:numId w:val="5"/>
              </w:numPr>
              <w:pBdr>
                <w:top w:val="nil"/>
                <w:left w:val="nil"/>
                <w:bottom w:val="nil"/>
                <w:right w:val="nil"/>
                <w:between w:val="nil"/>
              </w:pBdr>
              <w:tabs>
                <w:tab w:val="left" w:pos="453"/>
              </w:tabs>
              <w:ind w:left="453" w:firstLineChars="0" w:hanging="425"/>
              <w:jc w:val="left"/>
              <w:rPr>
                <w:rFonts w:ascii="宋体" w:eastAsia="宋体" w:hAnsi="宋体" w:cs="Times New Roman"/>
              </w:rPr>
            </w:pPr>
            <w:r w:rsidRPr="00174C10">
              <w:rPr>
                <w:rFonts w:ascii="宋体" w:eastAsia="宋体" w:hAnsi="宋体" w:cs="Times New Roman" w:hint="eastAsia"/>
              </w:rPr>
              <w:t>每周一次，</w:t>
            </w:r>
            <w:r w:rsidRPr="00174C10">
              <w:rPr>
                <w:rFonts w:ascii="宋体" w:eastAsia="宋体" w:hAnsi="宋体" w:cs="Times New Roman"/>
              </w:rPr>
              <w:t>4</w:t>
            </w:r>
            <w:r w:rsidRPr="00174C10">
              <w:rPr>
                <w:rFonts w:ascii="宋体" w:eastAsia="宋体" w:hAnsi="宋体" w:cs="Times New Roman" w:hint="eastAsia"/>
              </w:rPr>
              <w:t>或</w:t>
            </w:r>
            <w:r w:rsidRPr="00174C10">
              <w:rPr>
                <w:rFonts w:ascii="宋体" w:eastAsia="宋体" w:hAnsi="宋体" w:cs="Times New Roman"/>
              </w:rPr>
              <w:t>8</w:t>
            </w:r>
            <w:r w:rsidRPr="00174C10">
              <w:rPr>
                <w:rFonts w:ascii="宋体" w:eastAsia="宋体" w:hAnsi="宋体" w:cs="Times New Roman" w:hint="eastAsia"/>
              </w:rPr>
              <w:t>次剂量。</w:t>
            </w:r>
            <w:r>
              <w:rPr>
                <w:rFonts w:ascii="宋体" w:eastAsia="宋体" w:hAnsi="宋体" w:cs="Times New Roman" w:hint="eastAsia"/>
              </w:rPr>
              <w:t>用于</w:t>
            </w:r>
            <w:r w:rsidRPr="00174C10">
              <w:rPr>
                <w:rFonts w:ascii="宋体" w:eastAsia="宋体" w:hAnsi="宋体" w:cs="Times New Roman" w:hint="eastAsia"/>
              </w:rPr>
              <w:t>再治疗</w:t>
            </w:r>
            <w:r>
              <w:rPr>
                <w:rFonts w:ascii="宋体" w:eastAsia="宋体" w:hAnsi="宋体" w:cs="Times New Roman" w:hint="eastAsia"/>
              </w:rPr>
              <w:t>时，</w:t>
            </w:r>
            <w:r w:rsidRPr="00174C10">
              <w:rPr>
                <w:rFonts w:ascii="宋体" w:eastAsia="宋体" w:hAnsi="宋体" w:cs="Times New Roman" w:hint="eastAsia"/>
              </w:rPr>
              <w:t>每周一次，</w:t>
            </w:r>
            <w:r w:rsidRPr="00174C10">
              <w:rPr>
                <w:rFonts w:ascii="宋体" w:eastAsia="宋体" w:hAnsi="宋体" w:cs="Times New Roman"/>
              </w:rPr>
              <w:t>4</w:t>
            </w:r>
            <w:r w:rsidRPr="00174C10">
              <w:rPr>
                <w:rFonts w:ascii="宋体" w:eastAsia="宋体" w:hAnsi="宋体" w:cs="Times New Roman" w:hint="eastAsia"/>
              </w:rPr>
              <w:t>次剂量。</w:t>
            </w:r>
          </w:p>
          <w:p w14:paraId="147BAE04" w14:textId="77777777" w:rsidR="0003040D" w:rsidRPr="00174C10" w:rsidRDefault="0003040D" w:rsidP="0003040D">
            <w:pPr>
              <w:pStyle w:val="a5"/>
              <w:widowControl/>
              <w:numPr>
                <w:ilvl w:val="0"/>
                <w:numId w:val="5"/>
              </w:numPr>
              <w:ind w:firstLineChars="0"/>
              <w:jc w:val="left"/>
              <w:rPr>
                <w:rFonts w:ascii="宋体" w:eastAsia="宋体" w:hAnsi="宋体" w:cs="Times New Roman"/>
              </w:rPr>
            </w:pPr>
            <w:r w:rsidRPr="00174C10">
              <w:rPr>
                <w:rFonts w:ascii="宋体" w:eastAsia="宋体" w:hAnsi="宋体" w:cs="Times New Roman" w:hint="eastAsia"/>
              </w:rPr>
              <w:t>化疗各疗程第</w:t>
            </w:r>
            <w:r w:rsidRPr="00174C10">
              <w:rPr>
                <w:rFonts w:ascii="宋体" w:eastAsia="宋体" w:hAnsi="宋体" w:cs="Times New Roman"/>
              </w:rPr>
              <w:t>1</w:t>
            </w:r>
            <w:r w:rsidRPr="00174C10">
              <w:rPr>
                <w:rFonts w:ascii="宋体" w:eastAsia="宋体" w:hAnsi="宋体" w:cs="Times New Roman" w:hint="eastAsia"/>
              </w:rPr>
              <w:t>天给药，</w:t>
            </w:r>
            <w:r w:rsidRPr="00174C10">
              <w:rPr>
                <w:rFonts w:ascii="宋体" w:eastAsia="宋体" w:hAnsi="宋体" w:cs="Times New Roman"/>
              </w:rPr>
              <w:t>8</w:t>
            </w:r>
            <w:r w:rsidRPr="00174C10">
              <w:rPr>
                <w:rFonts w:ascii="宋体" w:eastAsia="宋体" w:hAnsi="宋体" w:cs="Times New Roman" w:hint="eastAsia"/>
              </w:rPr>
              <w:t>次剂量。对于达到完全缓解或部分缓解</w:t>
            </w:r>
            <w:r>
              <w:rPr>
                <w:rFonts w:ascii="宋体" w:eastAsia="宋体" w:hAnsi="宋体" w:cs="Times New Roman" w:hint="eastAsia"/>
              </w:rPr>
              <w:t>的</w:t>
            </w:r>
            <w:r w:rsidRPr="00174C10">
              <w:rPr>
                <w:rFonts w:ascii="宋体" w:eastAsia="宋体" w:hAnsi="宋体" w:cs="Times New Roman" w:hint="eastAsia"/>
              </w:rPr>
              <w:t>患者，</w:t>
            </w:r>
            <w:r w:rsidRPr="00174C10" w:rsidDel="005720AE">
              <w:rPr>
                <w:rFonts w:ascii="宋体" w:eastAsia="宋体" w:hAnsi="宋体" w:cs="Times New Roman"/>
              </w:rPr>
              <w:t xml:space="preserve"> </w:t>
            </w:r>
            <w:r w:rsidRPr="00174C10">
              <w:rPr>
                <w:rFonts w:ascii="宋体" w:eastAsia="宋体" w:hAnsi="宋体" w:cs="Times New Roman"/>
              </w:rPr>
              <w:t>RITUXAN</w:t>
            </w:r>
            <w:r w:rsidRPr="00174C10">
              <w:rPr>
                <w:rFonts w:ascii="宋体" w:eastAsia="宋体" w:hAnsi="宋体" w:cs="Times New Roman" w:hint="eastAsia"/>
              </w:rPr>
              <w:t>联合化疗</w:t>
            </w:r>
            <w:r>
              <w:rPr>
                <w:rFonts w:ascii="宋体" w:eastAsia="宋体" w:hAnsi="宋体" w:cs="Times New Roman" w:hint="eastAsia"/>
              </w:rPr>
              <w:t>后</w:t>
            </w:r>
            <w:r w:rsidRPr="00174C10">
              <w:rPr>
                <w:rFonts w:ascii="宋体" w:eastAsia="宋体" w:hAnsi="宋体" w:cs="Times New Roman"/>
              </w:rPr>
              <w:t>8</w:t>
            </w:r>
            <w:r w:rsidRPr="00174C10">
              <w:rPr>
                <w:rFonts w:ascii="宋体" w:eastAsia="宋体" w:hAnsi="宋体" w:cs="Times New Roman" w:hint="eastAsia"/>
              </w:rPr>
              <w:t>周开始</w:t>
            </w:r>
            <w:r w:rsidRPr="00174C10">
              <w:rPr>
                <w:rFonts w:ascii="宋体" w:eastAsia="宋体" w:hAnsi="宋体" w:cs="Times New Roman"/>
              </w:rPr>
              <w:t>RITUXAN</w:t>
            </w:r>
            <w:r w:rsidRPr="00174C10">
              <w:rPr>
                <w:rFonts w:ascii="宋体" w:eastAsia="宋体" w:hAnsi="宋体" w:cs="Times New Roman" w:hint="eastAsia"/>
              </w:rPr>
              <w:t>维持治疗</w:t>
            </w:r>
            <w:r>
              <w:rPr>
                <w:rFonts w:ascii="宋体" w:eastAsia="宋体" w:hAnsi="宋体" w:cs="Times New Roman" w:hint="eastAsia"/>
              </w:rPr>
              <w:t>，</w:t>
            </w:r>
            <w:r w:rsidRPr="00174C10">
              <w:rPr>
                <w:rFonts w:ascii="宋体" w:eastAsia="宋体" w:hAnsi="宋体" w:cs="Times New Roman"/>
              </w:rPr>
              <w:t>RITUXAN</w:t>
            </w:r>
            <w:r w:rsidRPr="00174C10">
              <w:rPr>
                <w:rFonts w:ascii="宋体" w:eastAsia="宋体" w:hAnsi="宋体" w:cs="Times New Roman" w:hint="eastAsia"/>
              </w:rPr>
              <w:t>单药，每</w:t>
            </w:r>
            <w:r w:rsidRPr="00174C10">
              <w:rPr>
                <w:rFonts w:ascii="宋体" w:eastAsia="宋体" w:hAnsi="宋体" w:cs="Times New Roman"/>
              </w:rPr>
              <w:t>8</w:t>
            </w:r>
            <w:r w:rsidRPr="00174C10">
              <w:rPr>
                <w:rFonts w:ascii="宋体" w:eastAsia="宋体" w:hAnsi="宋体" w:cs="Times New Roman" w:hint="eastAsia"/>
              </w:rPr>
              <w:t>周一次，</w:t>
            </w:r>
            <w:r w:rsidRPr="00174C10">
              <w:rPr>
                <w:rFonts w:ascii="宋体" w:eastAsia="宋体" w:hAnsi="宋体" w:cs="Times New Roman"/>
              </w:rPr>
              <w:t>12</w:t>
            </w:r>
            <w:r w:rsidRPr="00174C10">
              <w:rPr>
                <w:rFonts w:ascii="宋体" w:eastAsia="宋体" w:hAnsi="宋体" w:cs="Times New Roman" w:hint="eastAsia"/>
              </w:rPr>
              <w:t>次剂量。</w:t>
            </w:r>
          </w:p>
          <w:p w14:paraId="67CF8194" w14:textId="77777777" w:rsidR="0003040D" w:rsidRPr="00174C10" w:rsidRDefault="0003040D" w:rsidP="0003040D">
            <w:pPr>
              <w:pStyle w:val="a5"/>
              <w:widowControl/>
              <w:numPr>
                <w:ilvl w:val="0"/>
                <w:numId w:val="5"/>
              </w:numPr>
              <w:pBdr>
                <w:top w:val="nil"/>
                <w:left w:val="nil"/>
                <w:bottom w:val="nil"/>
                <w:right w:val="nil"/>
                <w:between w:val="nil"/>
              </w:pBdr>
              <w:ind w:firstLineChars="0"/>
              <w:jc w:val="left"/>
              <w:rPr>
                <w:rFonts w:ascii="宋体" w:eastAsia="宋体" w:hAnsi="宋体" w:cs="Times New Roman"/>
              </w:rPr>
            </w:pPr>
            <w:r w:rsidRPr="00174C10">
              <w:rPr>
                <w:rFonts w:ascii="宋体" w:eastAsia="宋体" w:hAnsi="宋体" w:cs="Times New Roman" w:hint="eastAsia"/>
              </w:rPr>
              <w:t>完成</w:t>
            </w:r>
            <w:r w:rsidRPr="00174C10">
              <w:rPr>
                <w:rFonts w:ascii="宋体" w:eastAsia="宋体" w:hAnsi="宋体" w:cs="Times New Roman"/>
              </w:rPr>
              <w:t>6</w:t>
            </w:r>
            <w:r w:rsidRPr="00174C10">
              <w:rPr>
                <w:rFonts w:ascii="宋体" w:eastAsia="宋体" w:hAnsi="宋体" w:cs="Times New Roman" w:hint="eastAsia"/>
              </w:rPr>
              <w:t>～</w:t>
            </w:r>
            <w:r w:rsidRPr="00174C10">
              <w:rPr>
                <w:rFonts w:ascii="宋体" w:eastAsia="宋体" w:hAnsi="宋体" w:cs="Times New Roman"/>
              </w:rPr>
              <w:t>8</w:t>
            </w:r>
            <w:r w:rsidRPr="00174C10">
              <w:rPr>
                <w:rFonts w:ascii="宋体" w:eastAsia="宋体" w:hAnsi="宋体" w:cs="Times New Roman" w:hint="eastAsia"/>
              </w:rPr>
              <w:t>个疗程</w:t>
            </w:r>
            <w:r w:rsidRPr="00174C10">
              <w:rPr>
                <w:rFonts w:ascii="宋体" w:eastAsia="宋体" w:hAnsi="宋体" w:cs="Times New Roman"/>
              </w:rPr>
              <w:t>CVP</w:t>
            </w:r>
            <w:r w:rsidRPr="00174C10">
              <w:rPr>
                <w:rFonts w:ascii="宋体" w:eastAsia="宋体" w:hAnsi="宋体" w:cs="Times New Roman" w:hint="eastAsia"/>
              </w:rPr>
              <w:t>化疗后，</w:t>
            </w:r>
            <w:r>
              <w:rPr>
                <w:rFonts w:ascii="宋体" w:eastAsia="宋体" w:hAnsi="宋体" w:cs="Times New Roman" w:hint="eastAsia"/>
              </w:rPr>
              <w:t>每间隔6个月给予4次剂量，</w:t>
            </w:r>
            <w:r w:rsidRPr="00174C10">
              <w:rPr>
                <w:rFonts w:ascii="宋体" w:eastAsia="宋体" w:hAnsi="宋体" w:cs="Times New Roman" w:hint="eastAsia"/>
              </w:rPr>
              <w:t>每周一次，最多</w:t>
            </w:r>
            <w:r w:rsidRPr="00174C10">
              <w:rPr>
                <w:rFonts w:ascii="宋体" w:eastAsia="宋体" w:hAnsi="宋体" w:cs="Times New Roman"/>
              </w:rPr>
              <w:t>16</w:t>
            </w:r>
            <w:r w:rsidRPr="00174C10">
              <w:rPr>
                <w:rFonts w:ascii="宋体" w:eastAsia="宋体" w:hAnsi="宋体" w:cs="Times New Roman" w:hint="eastAsia"/>
              </w:rPr>
              <w:t>次剂量。</w:t>
            </w:r>
          </w:p>
          <w:p w14:paraId="1EAAF877" w14:textId="77777777" w:rsidR="0003040D" w:rsidRPr="00174C10" w:rsidRDefault="0003040D" w:rsidP="0026615C">
            <w:pPr>
              <w:pStyle w:val="a5"/>
              <w:widowControl/>
              <w:pBdr>
                <w:top w:val="nil"/>
                <w:left w:val="nil"/>
                <w:bottom w:val="nil"/>
                <w:right w:val="nil"/>
                <w:between w:val="nil"/>
              </w:pBdr>
              <w:ind w:left="420" w:firstLineChars="0" w:firstLine="0"/>
              <w:jc w:val="left"/>
              <w:rPr>
                <w:rFonts w:ascii="宋体" w:eastAsia="宋体" w:hAnsi="宋体" w:cs="Times New Roman"/>
              </w:rPr>
            </w:pPr>
          </w:p>
          <w:p w14:paraId="200A9DB6" w14:textId="77777777" w:rsidR="0003040D" w:rsidRPr="00174C10" w:rsidRDefault="0003040D" w:rsidP="0003040D">
            <w:pPr>
              <w:pStyle w:val="a5"/>
              <w:widowControl/>
              <w:numPr>
                <w:ilvl w:val="0"/>
                <w:numId w:val="5"/>
              </w:numPr>
              <w:pBdr>
                <w:top w:val="nil"/>
                <w:left w:val="nil"/>
                <w:bottom w:val="nil"/>
                <w:right w:val="nil"/>
                <w:between w:val="nil"/>
              </w:pBdr>
              <w:ind w:firstLineChars="0"/>
              <w:jc w:val="left"/>
              <w:rPr>
                <w:rFonts w:ascii="宋体" w:eastAsia="宋体" w:hAnsi="宋体" w:cs="Times New Roman"/>
              </w:rPr>
            </w:pPr>
            <w:r w:rsidRPr="00174C10">
              <w:rPr>
                <w:rFonts w:ascii="宋体" w:eastAsia="宋体" w:hAnsi="宋体" w:cs="Times New Roman" w:hint="eastAsia"/>
              </w:rPr>
              <w:t>化疗各疗程第</w:t>
            </w:r>
            <w:r w:rsidRPr="00174C10">
              <w:rPr>
                <w:rFonts w:ascii="宋体" w:eastAsia="宋体" w:hAnsi="宋体" w:cs="Times New Roman"/>
              </w:rPr>
              <w:t>1</w:t>
            </w:r>
            <w:r w:rsidRPr="00174C10">
              <w:rPr>
                <w:rFonts w:ascii="宋体" w:eastAsia="宋体" w:hAnsi="宋体" w:cs="Times New Roman" w:hint="eastAsia"/>
              </w:rPr>
              <w:t>天给药，输注</w:t>
            </w:r>
            <w:r w:rsidRPr="00174C10">
              <w:rPr>
                <w:rFonts w:ascii="宋体" w:eastAsia="宋体" w:hAnsi="宋体" w:cs="Times New Roman"/>
              </w:rPr>
              <w:t>8</w:t>
            </w:r>
            <w:r w:rsidRPr="00174C10">
              <w:rPr>
                <w:rFonts w:ascii="宋体" w:eastAsia="宋体" w:hAnsi="宋体" w:cs="Times New Roman" w:hint="eastAsia"/>
              </w:rPr>
              <w:t xml:space="preserve">次。 </w:t>
            </w:r>
          </w:p>
        </w:tc>
      </w:tr>
      <w:tr w:rsidR="0003040D" w:rsidRPr="00174C10" w14:paraId="5F79F212" w14:textId="77777777" w:rsidTr="00D83154">
        <w:tc>
          <w:tcPr>
            <w:tcW w:w="2830" w:type="dxa"/>
            <w:vMerge/>
          </w:tcPr>
          <w:p w14:paraId="0BDCD05D" w14:textId="77777777"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31323F07" w14:textId="77777777" w:rsidR="0003040D" w:rsidRPr="00174C10" w:rsidRDefault="0003040D" w:rsidP="0026615C">
            <w:pPr>
              <w:rPr>
                <w:rFonts w:ascii="宋体" w:eastAsia="宋体" w:hAnsi="宋体"/>
                <w:b/>
              </w:rPr>
            </w:pPr>
            <w:r w:rsidRPr="00174C10">
              <w:rPr>
                <w:rFonts w:ascii="宋体" w:eastAsia="宋体" w:hAnsi="宋体" w:hint="eastAsia"/>
                <w:b/>
              </w:rPr>
              <w:t>慢性淋巴细胞白血病</w:t>
            </w:r>
          </w:p>
          <w:p w14:paraId="6FA8AEB4" w14:textId="77777777" w:rsidR="0003040D" w:rsidRPr="00174C10" w:rsidRDefault="0003040D" w:rsidP="0026615C">
            <w:pPr>
              <w:rPr>
                <w:rFonts w:ascii="宋体" w:eastAsia="宋体" w:hAnsi="宋体" w:cs="Times New Roman"/>
              </w:rPr>
            </w:pPr>
            <w:proofErr w:type="gramStart"/>
            <w:r w:rsidRPr="00174C10">
              <w:rPr>
                <w:rFonts w:ascii="宋体" w:eastAsia="宋体" w:hAnsi="宋体" w:hint="eastAsia"/>
              </w:rPr>
              <w:t>与氟达拉</w:t>
            </w:r>
            <w:proofErr w:type="gramEnd"/>
            <w:r w:rsidRPr="00174C10">
              <w:rPr>
                <w:rFonts w:ascii="宋体" w:eastAsia="宋体" w:hAnsi="宋体" w:hint="eastAsia"/>
              </w:rPr>
              <w:t>滨和环磷酰胺（</w:t>
            </w:r>
            <w:r w:rsidRPr="00174C10">
              <w:rPr>
                <w:rFonts w:ascii="宋体" w:eastAsia="宋体" w:hAnsi="宋体"/>
              </w:rPr>
              <w:t>FC）联合治疗CD20阳性</w:t>
            </w:r>
            <w:r w:rsidRPr="00174C10">
              <w:rPr>
                <w:rFonts w:ascii="宋体" w:eastAsia="宋体" w:hAnsi="宋体" w:hint="eastAsia"/>
              </w:rPr>
              <w:t>慢性淋巴细胞白血病的初治和经治成人</w:t>
            </w:r>
            <w:r w:rsidRPr="00174C10">
              <w:rPr>
                <w:rFonts w:ascii="宋体" w:eastAsia="宋体" w:hAnsi="宋体"/>
              </w:rPr>
              <w:t>患者。</w:t>
            </w:r>
          </w:p>
        </w:tc>
        <w:tc>
          <w:tcPr>
            <w:tcW w:w="5245" w:type="dxa"/>
          </w:tcPr>
          <w:p w14:paraId="7DE8800B" w14:textId="77777777" w:rsidR="00D83154" w:rsidRDefault="00D83154" w:rsidP="0026615C">
            <w:pPr>
              <w:pStyle w:val="Default"/>
              <w:contextualSpacing/>
              <w:jc w:val="both"/>
              <w:rPr>
                <w:rFonts w:hAnsi="宋体" w:cstheme="minorBidi"/>
                <w:color w:val="auto"/>
                <w:kern w:val="2"/>
                <w:sz w:val="20"/>
                <w:szCs w:val="20"/>
              </w:rPr>
            </w:pPr>
          </w:p>
          <w:p w14:paraId="35433450" w14:textId="55537626" w:rsidR="0003040D" w:rsidRPr="00174C10"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color w:val="auto"/>
                <w:kern w:val="2"/>
                <w:sz w:val="20"/>
                <w:szCs w:val="20"/>
              </w:rPr>
              <w:t>第一周期：375 mg/m</w:t>
            </w:r>
            <w:r w:rsidRPr="00174C10">
              <w:rPr>
                <w:rFonts w:hAnsi="宋体" w:cstheme="minorBidi" w:hint="eastAsia"/>
                <w:color w:val="auto"/>
                <w:kern w:val="2"/>
                <w:sz w:val="20"/>
                <w:szCs w:val="20"/>
                <w:vertAlign w:val="superscript"/>
              </w:rPr>
              <w:t>2</w:t>
            </w:r>
          </w:p>
          <w:p w14:paraId="6E3AC3E4" w14:textId="77777777" w:rsidR="0003040D" w:rsidRPr="00174C10"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color w:val="auto"/>
                <w:kern w:val="2"/>
                <w:sz w:val="20"/>
                <w:szCs w:val="20"/>
              </w:rPr>
              <w:t>第二到第六周期:500mg/m</w:t>
            </w:r>
            <w:r w:rsidRPr="00174C10">
              <w:rPr>
                <w:rFonts w:hAnsi="宋体" w:cstheme="minorBidi" w:hint="eastAsia"/>
                <w:color w:val="auto"/>
                <w:kern w:val="2"/>
                <w:sz w:val="20"/>
                <w:szCs w:val="20"/>
                <w:vertAlign w:val="superscript"/>
              </w:rPr>
              <w:t>2</w:t>
            </w:r>
          </w:p>
        </w:tc>
      </w:tr>
      <w:tr w:rsidR="0003040D" w:rsidRPr="00174C10" w14:paraId="37145FF1" w14:textId="77777777" w:rsidTr="00D83154">
        <w:tc>
          <w:tcPr>
            <w:tcW w:w="2830" w:type="dxa"/>
            <w:vMerge/>
          </w:tcPr>
          <w:p w14:paraId="64487A46" w14:textId="77777777"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4B87B22F" w14:textId="77777777" w:rsidR="0003040D" w:rsidRPr="00174C10" w:rsidRDefault="0003040D" w:rsidP="0026615C">
            <w:pPr>
              <w:rPr>
                <w:rFonts w:ascii="宋体" w:eastAsia="宋体" w:hAnsi="宋体"/>
                <w:b/>
              </w:rPr>
            </w:pPr>
            <w:r w:rsidRPr="00174C10">
              <w:rPr>
                <w:rFonts w:ascii="宋体" w:eastAsia="宋体" w:hAnsi="宋体" w:hint="eastAsia"/>
                <w:b/>
              </w:rPr>
              <w:t>类风湿关节炎</w:t>
            </w:r>
          </w:p>
          <w:p w14:paraId="2FCB9E5A" w14:textId="77777777" w:rsidR="0003040D" w:rsidRPr="00174C10" w:rsidRDefault="0003040D" w:rsidP="0026615C">
            <w:pPr>
              <w:rPr>
                <w:rFonts w:ascii="宋体" w:eastAsia="宋体" w:hAnsi="宋体" w:cs="Times New Roman"/>
              </w:rPr>
            </w:pPr>
            <w:r w:rsidRPr="00174C10">
              <w:rPr>
                <w:rFonts w:ascii="宋体" w:eastAsia="宋体" w:hAnsi="宋体"/>
              </w:rPr>
              <w:t>与甲氨蝶</w:t>
            </w:r>
            <w:proofErr w:type="gramStart"/>
            <w:r w:rsidRPr="00174C10">
              <w:rPr>
                <w:rFonts w:ascii="宋体" w:eastAsia="宋体" w:hAnsi="宋体"/>
              </w:rPr>
              <w:t>呤</w:t>
            </w:r>
            <w:proofErr w:type="gramEnd"/>
            <w:r w:rsidRPr="00174C10">
              <w:rPr>
                <w:rFonts w:ascii="宋体" w:eastAsia="宋体" w:hAnsi="宋体"/>
              </w:rPr>
              <w:t>联合治疗</w:t>
            </w:r>
            <w:r w:rsidRPr="00174C10">
              <w:rPr>
                <w:rFonts w:ascii="宋体" w:eastAsia="宋体" w:hAnsi="宋体" w:hint="eastAsia"/>
              </w:rPr>
              <w:t>对一种或多种</w:t>
            </w:r>
            <w:r w:rsidRPr="00174C10">
              <w:rPr>
                <w:rFonts w:ascii="宋体" w:eastAsia="宋体" w:hAnsi="宋体"/>
              </w:rPr>
              <w:t>TNF拮抗剂治疗反应不充分的中至重度活动性类风湿性关节炎成人患者。</w:t>
            </w:r>
          </w:p>
        </w:tc>
        <w:tc>
          <w:tcPr>
            <w:tcW w:w="5245" w:type="dxa"/>
          </w:tcPr>
          <w:p w14:paraId="31869E0A" w14:textId="77777777" w:rsidR="0003040D" w:rsidRPr="00174C10"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color w:val="auto"/>
                <w:kern w:val="2"/>
                <w:sz w:val="20"/>
                <w:szCs w:val="20"/>
              </w:rPr>
              <w:t>分两次</w:t>
            </w:r>
            <w:r w:rsidRPr="00174C10">
              <w:rPr>
                <w:rFonts w:hAnsi="宋体" w:cstheme="minorBidi"/>
                <w:color w:val="auto"/>
                <w:kern w:val="2"/>
                <w:sz w:val="20"/>
                <w:szCs w:val="20"/>
              </w:rPr>
              <w:t>静脉输注</w:t>
            </w:r>
            <w:r>
              <w:rPr>
                <w:rFonts w:hAnsi="宋体" w:cstheme="minorBidi" w:hint="eastAsia"/>
                <w:color w:val="auto"/>
                <w:kern w:val="2"/>
                <w:sz w:val="20"/>
                <w:szCs w:val="20"/>
              </w:rPr>
              <w:t>，每次</w:t>
            </w:r>
            <w:r w:rsidRPr="00174C10">
              <w:rPr>
                <w:rFonts w:hAnsi="宋体" w:cstheme="minorBidi"/>
                <w:color w:val="auto"/>
                <w:kern w:val="2"/>
                <w:sz w:val="20"/>
                <w:szCs w:val="20"/>
              </w:rPr>
              <w:t>1000 mg，间隔2周</w:t>
            </w:r>
            <w:r w:rsidRPr="00174C10">
              <w:rPr>
                <w:rFonts w:hAnsi="宋体" w:cstheme="minorBidi" w:hint="eastAsia"/>
                <w:color w:val="auto"/>
                <w:kern w:val="2"/>
                <w:sz w:val="20"/>
                <w:szCs w:val="20"/>
              </w:rPr>
              <w:t>。</w:t>
            </w:r>
          </w:p>
          <w:p w14:paraId="1469BA14" w14:textId="77777777" w:rsidR="0003040D" w:rsidRPr="00174C10" w:rsidRDefault="0003040D" w:rsidP="0026615C">
            <w:pPr>
              <w:pStyle w:val="Default"/>
              <w:contextualSpacing/>
              <w:jc w:val="both"/>
              <w:rPr>
                <w:rFonts w:hAnsi="宋体" w:cs="Times New Roman"/>
                <w:color w:val="auto"/>
                <w:sz w:val="20"/>
                <w:szCs w:val="20"/>
              </w:rPr>
            </w:pPr>
            <w:r w:rsidRPr="00174C10">
              <w:rPr>
                <w:rFonts w:hAnsi="宋体" w:cs="Times New Roman"/>
                <w:color w:val="auto"/>
                <w:sz w:val="20"/>
                <w:szCs w:val="20"/>
              </w:rPr>
              <w:t>后续疗程每24周给药一次或根据临床评价决定，但每次给药间隔不得少于16周。</w:t>
            </w:r>
          </w:p>
        </w:tc>
      </w:tr>
      <w:tr w:rsidR="0003040D" w:rsidRPr="00174C10" w14:paraId="389A59BB" w14:textId="77777777" w:rsidTr="00D83154">
        <w:tc>
          <w:tcPr>
            <w:tcW w:w="2830" w:type="dxa"/>
            <w:vMerge/>
          </w:tcPr>
          <w:p w14:paraId="23B16FC1" w14:textId="77777777"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6918F25D" w14:textId="77777777" w:rsidR="0003040D" w:rsidRPr="00174C10" w:rsidRDefault="0003040D" w:rsidP="0026615C">
            <w:pPr>
              <w:rPr>
                <w:rFonts w:ascii="宋体" w:eastAsia="宋体" w:hAnsi="宋体"/>
                <w:b/>
              </w:rPr>
            </w:pPr>
            <w:r w:rsidRPr="00174C10">
              <w:rPr>
                <w:rFonts w:ascii="宋体" w:eastAsia="宋体" w:hAnsi="宋体" w:hint="eastAsia"/>
                <w:b/>
              </w:rPr>
              <w:t>肉芽肿性多血管炎</w:t>
            </w:r>
            <w:r w:rsidRPr="00174C10">
              <w:rPr>
                <w:rFonts w:ascii="宋体" w:eastAsia="宋体" w:hAnsi="宋体"/>
                <w:b/>
              </w:rPr>
              <w:t>（韦格纳肉芽肿）和显微镜下多血管炎</w:t>
            </w:r>
          </w:p>
          <w:p w14:paraId="7D16BCE9" w14:textId="77777777" w:rsidR="0003040D" w:rsidRPr="00174C10" w:rsidRDefault="0003040D" w:rsidP="0026615C">
            <w:pPr>
              <w:rPr>
                <w:rFonts w:ascii="宋体" w:eastAsia="宋体" w:hAnsi="宋体" w:cs="Times New Roman"/>
              </w:rPr>
            </w:pPr>
            <w:r w:rsidRPr="00174C10">
              <w:rPr>
                <w:rFonts w:ascii="宋体" w:eastAsia="宋体" w:hAnsi="宋体" w:hint="eastAsia"/>
              </w:rPr>
              <w:t>与糖皮质激素联合治疗成人肉芽肿性多血管炎（韦格纳肉芽肿）和显微镜下多血管炎（</w:t>
            </w:r>
            <w:r w:rsidRPr="00174C10">
              <w:rPr>
                <w:rFonts w:ascii="宋体" w:eastAsia="宋体" w:hAnsi="宋体"/>
              </w:rPr>
              <w:t>MPA）患者。</w:t>
            </w:r>
          </w:p>
        </w:tc>
        <w:tc>
          <w:tcPr>
            <w:tcW w:w="5245" w:type="dxa"/>
          </w:tcPr>
          <w:p w14:paraId="6C5A42C2" w14:textId="77777777" w:rsidR="0003040D" w:rsidRPr="00174C10" w:rsidRDefault="0003040D" w:rsidP="0026615C">
            <w:pPr>
              <w:pStyle w:val="Default"/>
              <w:contextualSpacing/>
              <w:jc w:val="both"/>
              <w:rPr>
                <w:rFonts w:hAnsi="宋体" w:cs="Times New Roman"/>
                <w:sz w:val="20"/>
                <w:szCs w:val="20"/>
              </w:rPr>
            </w:pPr>
            <w:r w:rsidRPr="00174C10">
              <w:rPr>
                <w:rFonts w:hAnsi="宋体" w:cstheme="minorBidi" w:hint="eastAsia"/>
                <w:color w:val="auto"/>
                <w:kern w:val="2"/>
                <w:sz w:val="20"/>
                <w:szCs w:val="20"/>
              </w:rPr>
              <w:t>375 mg/m</w:t>
            </w:r>
            <w:r w:rsidRPr="00174C10">
              <w:rPr>
                <w:rFonts w:hAnsi="宋体" w:cstheme="minorBidi" w:hint="eastAsia"/>
                <w:color w:val="auto"/>
                <w:kern w:val="2"/>
                <w:sz w:val="20"/>
                <w:szCs w:val="20"/>
                <w:vertAlign w:val="superscript"/>
              </w:rPr>
              <w:t>2</w:t>
            </w:r>
            <w:r w:rsidRPr="00174C10">
              <w:rPr>
                <w:rFonts w:hAnsi="宋体" w:cstheme="minorBidi" w:hint="eastAsia"/>
                <w:color w:val="auto"/>
                <w:kern w:val="2"/>
                <w:sz w:val="20"/>
                <w:szCs w:val="20"/>
              </w:rPr>
              <w:t>静脉输注，每周一次，</w:t>
            </w:r>
            <w:r w:rsidRPr="00174C10">
              <w:rPr>
                <w:rFonts w:hAnsi="宋体" w:cs="Times New Roman" w:hint="eastAsia"/>
                <w:sz w:val="20"/>
                <w:szCs w:val="20"/>
              </w:rPr>
              <w:t>持续</w:t>
            </w:r>
            <w:r w:rsidRPr="00174C10">
              <w:rPr>
                <w:rFonts w:hAnsi="宋体" w:cs="Times New Roman"/>
                <w:sz w:val="20"/>
                <w:szCs w:val="20"/>
              </w:rPr>
              <w:t>4</w:t>
            </w:r>
            <w:r w:rsidRPr="00174C10">
              <w:rPr>
                <w:rFonts w:hAnsi="宋体" w:cs="Times New Roman" w:hint="eastAsia"/>
                <w:sz w:val="20"/>
                <w:szCs w:val="20"/>
              </w:rPr>
              <w:t>周。</w:t>
            </w:r>
          </w:p>
          <w:p w14:paraId="5DC00017" w14:textId="77777777" w:rsidR="0003040D" w:rsidRPr="00174C10" w:rsidRDefault="0003040D" w:rsidP="0026615C">
            <w:pPr>
              <w:pStyle w:val="Default"/>
              <w:contextualSpacing/>
              <w:rPr>
                <w:rFonts w:hAnsi="宋体" w:cstheme="minorBidi"/>
                <w:color w:val="auto"/>
                <w:kern w:val="2"/>
                <w:sz w:val="20"/>
                <w:szCs w:val="20"/>
              </w:rPr>
            </w:pPr>
            <w:r w:rsidRPr="00174C10">
              <w:rPr>
                <w:rFonts w:hAnsi="宋体" w:cs="Times New Roman" w:hint="eastAsia"/>
                <w:sz w:val="20"/>
                <w:szCs w:val="20"/>
              </w:rPr>
              <w:t>对通过诱导治疗</w:t>
            </w:r>
            <w:r w:rsidRPr="00174C10">
              <w:rPr>
                <w:rFonts w:hAnsi="宋体" w:cstheme="minorBidi" w:hint="eastAsia"/>
                <w:color w:val="auto"/>
                <w:kern w:val="2"/>
                <w:sz w:val="20"/>
                <w:szCs w:val="20"/>
              </w:rPr>
              <w:t>达到疾病控制的患者可</w:t>
            </w:r>
            <w:r w:rsidRPr="00174C10">
              <w:rPr>
                <w:rFonts w:hAnsi="宋体" w:cstheme="minorBidi"/>
                <w:color w:val="auto"/>
                <w:kern w:val="2"/>
                <w:sz w:val="20"/>
                <w:szCs w:val="20"/>
              </w:rPr>
              <w:t>进行2次500 mg静脉输注，间隔2周，然后每6个月一次500mg静脉输注。</w:t>
            </w:r>
          </w:p>
          <w:p w14:paraId="29D056B0" w14:textId="77777777" w:rsidR="0003040D" w:rsidRPr="00174C10" w:rsidRDefault="0003040D" w:rsidP="0026615C">
            <w:pPr>
              <w:widowControl/>
              <w:tabs>
                <w:tab w:val="left" w:pos="144"/>
              </w:tabs>
              <w:jc w:val="left"/>
              <w:rPr>
                <w:rFonts w:ascii="宋体" w:eastAsia="宋体" w:hAnsi="宋体" w:cs="Times New Roman"/>
              </w:rPr>
            </w:pPr>
            <w:r w:rsidRPr="00174C10">
              <w:rPr>
                <w:rFonts w:ascii="宋体" w:eastAsia="宋体" w:hAnsi="宋体" w:cs="Times New Roman" w:hint="eastAsia"/>
              </w:rPr>
              <w:lastRenderedPageBreak/>
              <w:t>如果使用</w:t>
            </w:r>
            <w:r w:rsidRPr="00174C10">
              <w:rPr>
                <w:rFonts w:ascii="宋体" w:eastAsia="宋体" w:hAnsi="宋体" w:cs="Times New Roman"/>
              </w:rPr>
              <w:t>RITUXAN</w:t>
            </w:r>
            <w:r w:rsidRPr="00174C10">
              <w:rPr>
                <w:rFonts w:ascii="宋体" w:eastAsia="宋体" w:hAnsi="宋体" w:cs="Times New Roman" w:hint="eastAsia"/>
              </w:rPr>
              <w:t>对活动性疾病进行诱导治疗，应在最后一次</w:t>
            </w:r>
            <w:r w:rsidRPr="00174C10">
              <w:rPr>
                <w:rFonts w:ascii="宋体" w:eastAsia="宋体" w:hAnsi="宋体" w:cs="Times New Roman"/>
              </w:rPr>
              <w:t>RITUXAN</w:t>
            </w:r>
            <w:r w:rsidRPr="00174C10">
              <w:rPr>
                <w:rFonts w:ascii="宋体" w:eastAsia="宋体" w:hAnsi="宋体" w:cs="Times New Roman" w:hint="eastAsia"/>
              </w:rPr>
              <w:t>诱导输注后</w:t>
            </w:r>
            <w:r w:rsidRPr="00174C10">
              <w:rPr>
                <w:rFonts w:ascii="宋体" w:eastAsia="宋体" w:hAnsi="宋体" w:cs="Times New Roman"/>
              </w:rPr>
              <w:t>24</w:t>
            </w:r>
            <w:r w:rsidRPr="00174C10">
              <w:rPr>
                <w:rFonts w:ascii="宋体" w:eastAsia="宋体" w:hAnsi="宋体" w:cs="Times New Roman" w:hint="eastAsia"/>
              </w:rPr>
              <w:t>周内或根据临床评估进行</w:t>
            </w:r>
            <w:r w:rsidRPr="00174C10">
              <w:rPr>
                <w:rFonts w:ascii="宋体" w:eastAsia="宋体" w:hAnsi="宋体" w:cs="Times New Roman"/>
              </w:rPr>
              <w:t>RITUXAN</w:t>
            </w:r>
            <w:r w:rsidRPr="00174C10">
              <w:rPr>
                <w:rFonts w:ascii="宋体" w:eastAsia="宋体" w:hAnsi="宋体" w:cs="Times New Roman" w:hint="eastAsia"/>
              </w:rPr>
              <w:t>的后续治疗，但不早于最后一次</w:t>
            </w:r>
            <w:r w:rsidRPr="00174C10">
              <w:rPr>
                <w:rFonts w:ascii="宋体" w:eastAsia="宋体" w:hAnsi="宋体" w:cs="Times New Roman"/>
              </w:rPr>
              <w:t>RITUXAN</w:t>
            </w:r>
            <w:r w:rsidRPr="00174C10">
              <w:rPr>
                <w:rFonts w:ascii="宋体" w:eastAsia="宋体" w:hAnsi="宋体" w:cs="Times New Roman" w:hint="eastAsia"/>
              </w:rPr>
              <w:t>诱导输注后</w:t>
            </w:r>
            <w:r w:rsidRPr="00174C10">
              <w:rPr>
                <w:rFonts w:ascii="宋体" w:eastAsia="宋体" w:hAnsi="宋体" w:cs="Times New Roman"/>
              </w:rPr>
              <w:t>16</w:t>
            </w:r>
            <w:r w:rsidRPr="00174C10">
              <w:rPr>
                <w:rFonts w:ascii="宋体" w:eastAsia="宋体" w:hAnsi="宋体" w:cs="Times New Roman" w:hint="eastAsia"/>
              </w:rPr>
              <w:t>周。</w:t>
            </w:r>
          </w:p>
        </w:tc>
      </w:tr>
      <w:tr w:rsidR="0003040D" w:rsidRPr="00174C10" w14:paraId="5A3DC7AD" w14:textId="77777777" w:rsidTr="00D83154">
        <w:tc>
          <w:tcPr>
            <w:tcW w:w="2830" w:type="dxa"/>
            <w:vMerge/>
          </w:tcPr>
          <w:p w14:paraId="147132D4" w14:textId="77777777"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55B7A4F7" w14:textId="77777777" w:rsidR="0003040D" w:rsidRPr="00174C10" w:rsidRDefault="0003040D" w:rsidP="0026615C">
            <w:pPr>
              <w:pStyle w:val="Default"/>
              <w:spacing w:line="360" w:lineRule="auto"/>
              <w:contextualSpacing/>
              <w:jc w:val="both"/>
              <w:rPr>
                <w:rFonts w:hAnsi="宋体" w:cs="Times New Roman"/>
                <w:b/>
                <w:sz w:val="20"/>
                <w:szCs w:val="20"/>
              </w:rPr>
            </w:pPr>
            <w:r w:rsidRPr="00174C10">
              <w:rPr>
                <w:rFonts w:hAnsi="宋体" w:cstheme="minorBidi" w:hint="eastAsia"/>
                <w:b/>
                <w:color w:val="auto"/>
                <w:kern w:val="2"/>
                <w:sz w:val="20"/>
                <w:szCs w:val="20"/>
              </w:rPr>
              <w:t>治疗中至重度成人寻常型天疱疮患者。</w:t>
            </w:r>
          </w:p>
        </w:tc>
        <w:tc>
          <w:tcPr>
            <w:tcW w:w="5245" w:type="dxa"/>
          </w:tcPr>
          <w:p w14:paraId="0140692F" w14:textId="77777777" w:rsidR="0003040D" w:rsidRPr="00174C10"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color w:val="auto"/>
                <w:kern w:val="2"/>
                <w:sz w:val="20"/>
                <w:szCs w:val="20"/>
              </w:rPr>
              <w:t>分两次</w:t>
            </w:r>
            <w:r w:rsidRPr="00174C10">
              <w:rPr>
                <w:rFonts w:hAnsi="宋体" w:cstheme="minorBidi"/>
                <w:color w:val="auto"/>
                <w:kern w:val="2"/>
                <w:sz w:val="20"/>
                <w:szCs w:val="20"/>
              </w:rPr>
              <w:t>静脉输注，</w:t>
            </w:r>
            <w:r w:rsidRPr="00174C10">
              <w:rPr>
                <w:rFonts w:hAnsi="宋体" w:cstheme="minorBidi" w:hint="eastAsia"/>
                <w:color w:val="auto"/>
                <w:kern w:val="2"/>
                <w:sz w:val="20"/>
                <w:szCs w:val="20"/>
              </w:rPr>
              <w:t>每次</w:t>
            </w:r>
            <w:r w:rsidRPr="00174C10">
              <w:rPr>
                <w:rFonts w:hAnsi="宋体" w:cstheme="minorBidi"/>
                <w:color w:val="auto"/>
                <w:kern w:val="2"/>
                <w:sz w:val="20"/>
                <w:szCs w:val="20"/>
              </w:rPr>
              <w:t>1000mg</w:t>
            </w:r>
            <w:r w:rsidRPr="00174C10">
              <w:rPr>
                <w:rFonts w:hAnsi="宋体" w:cstheme="minorBidi" w:hint="eastAsia"/>
                <w:color w:val="auto"/>
                <w:kern w:val="2"/>
                <w:sz w:val="20"/>
                <w:szCs w:val="20"/>
              </w:rPr>
              <w:t>，</w:t>
            </w:r>
            <w:r w:rsidRPr="00174C10">
              <w:rPr>
                <w:rFonts w:hAnsi="宋体" w:cstheme="minorBidi"/>
                <w:color w:val="auto"/>
                <w:kern w:val="2"/>
                <w:sz w:val="20"/>
                <w:szCs w:val="20"/>
              </w:rPr>
              <w:t>间隔2周</w:t>
            </w:r>
            <w:r w:rsidRPr="00174C10">
              <w:rPr>
                <w:rFonts w:hAnsi="宋体" w:cstheme="minorBidi" w:hint="eastAsia"/>
                <w:color w:val="auto"/>
                <w:kern w:val="2"/>
                <w:sz w:val="20"/>
                <w:szCs w:val="20"/>
              </w:rPr>
              <w:t>，与逐渐减量的糖皮质激素联合</w:t>
            </w:r>
            <w:r w:rsidRPr="00174C10">
              <w:rPr>
                <w:rFonts w:hAnsi="宋体" w:cstheme="minorBidi"/>
                <w:color w:val="auto"/>
                <w:kern w:val="2"/>
                <w:sz w:val="20"/>
                <w:szCs w:val="20"/>
              </w:rPr>
              <w:t>。</w:t>
            </w:r>
          </w:p>
          <w:p w14:paraId="1F0FCE33" w14:textId="77777777" w:rsidR="0003040D" w:rsidRPr="00174C10" w:rsidRDefault="0003040D" w:rsidP="0026615C">
            <w:pPr>
              <w:widowControl/>
              <w:tabs>
                <w:tab w:val="left" w:pos="144"/>
              </w:tabs>
              <w:jc w:val="left"/>
              <w:rPr>
                <w:rFonts w:ascii="宋体" w:eastAsia="宋体" w:hAnsi="宋体" w:cs="Times New Roman"/>
              </w:rPr>
            </w:pPr>
            <w:r w:rsidRPr="00174C10">
              <w:rPr>
                <w:rFonts w:ascii="宋体" w:eastAsia="宋体" w:hAnsi="宋体" w:cs="Times New Roman" w:hint="eastAsia"/>
                <w:b/>
              </w:rPr>
              <w:t>维持治疗：</w:t>
            </w:r>
            <w:r w:rsidRPr="00174C10">
              <w:rPr>
                <w:rFonts w:ascii="宋体" w:eastAsia="宋体" w:hAnsi="宋体" w:cs="Times New Roman"/>
              </w:rPr>
              <w:t>RITUXAN 500 mg</w:t>
            </w:r>
            <w:r w:rsidRPr="00174C10">
              <w:rPr>
                <w:rFonts w:ascii="宋体" w:eastAsia="宋体" w:hAnsi="宋体" w:cs="Times New Roman" w:hint="eastAsia"/>
              </w:rPr>
              <w:t>静脉输注，在第</w:t>
            </w:r>
            <w:r w:rsidRPr="00174C10">
              <w:rPr>
                <w:rFonts w:ascii="宋体" w:eastAsia="宋体" w:hAnsi="宋体" w:cs="Times New Roman"/>
              </w:rPr>
              <w:t>12</w:t>
            </w:r>
            <w:r w:rsidRPr="00174C10">
              <w:rPr>
                <w:rFonts w:ascii="宋体" w:eastAsia="宋体" w:hAnsi="宋体" w:cs="Times New Roman" w:hint="eastAsia"/>
              </w:rPr>
              <w:t>个月进行输注，后续每</w:t>
            </w:r>
            <w:r w:rsidRPr="00174C10">
              <w:rPr>
                <w:rFonts w:ascii="宋体" w:eastAsia="宋体" w:hAnsi="宋体" w:cs="Times New Roman"/>
              </w:rPr>
              <w:t>6</w:t>
            </w:r>
            <w:r w:rsidRPr="00174C10">
              <w:rPr>
                <w:rFonts w:ascii="宋体" w:eastAsia="宋体" w:hAnsi="宋体" w:cs="Times New Roman" w:hint="eastAsia"/>
              </w:rPr>
              <w:t>个月给药一次或基于临床评价决定。</w:t>
            </w:r>
          </w:p>
          <w:p w14:paraId="3C662EC1" w14:textId="77777777" w:rsidR="0003040D"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b/>
                <w:color w:val="auto"/>
                <w:kern w:val="2"/>
                <w:sz w:val="20"/>
                <w:szCs w:val="20"/>
              </w:rPr>
              <w:t>复发治疗：</w:t>
            </w:r>
            <w:r w:rsidRPr="00174C10">
              <w:rPr>
                <w:rFonts w:hAnsi="宋体" w:cstheme="minorBidi"/>
                <w:color w:val="auto"/>
                <w:kern w:val="2"/>
                <w:sz w:val="20"/>
                <w:szCs w:val="20"/>
              </w:rPr>
              <w:t>1000 mg静脉输注</w:t>
            </w:r>
            <w:r w:rsidRPr="00174C10">
              <w:rPr>
                <w:rFonts w:hAnsi="宋体" w:cstheme="minorBidi" w:hint="eastAsia"/>
                <w:color w:val="auto"/>
                <w:kern w:val="2"/>
                <w:sz w:val="20"/>
                <w:szCs w:val="20"/>
              </w:rPr>
              <w:t>，并根据临床评价考虑重新给予糖皮质激素或增加糖皮质激素的剂量。</w:t>
            </w:r>
          </w:p>
          <w:p w14:paraId="371C783F" w14:textId="77777777" w:rsidR="0003040D" w:rsidRPr="00174C10" w:rsidRDefault="0003040D" w:rsidP="0026615C">
            <w:pPr>
              <w:pStyle w:val="Default"/>
              <w:contextualSpacing/>
              <w:jc w:val="both"/>
              <w:rPr>
                <w:rFonts w:hAnsi="宋体" w:cs="Times New Roman"/>
                <w:sz w:val="20"/>
                <w:szCs w:val="20"/>
              </w:rPr>
            </w:pPr>
            <w:r w:rsidRPr="00174C10">
              <w:rPr>
                <w:rFonts w:hAnsi="宋体" w:cs="Times New Roman" w:hint="eastAsia"/>
                <w:sz w:val="20"/>
                <w:szCs w:val="20"/>
              </w:rPr>
              <w:t>后续输</w:t>
            </w:r>
            <w:proofErr w:type="gramStart"/>
            <w:r w:rsidRPr="00174C10">
              <w:rPr>
                <w:rFonts w:hAnsi="宋体" w:cs="Times New Roman" w:hint="eastAsia"/>
                <w:sz w:val="20"/>
                <w:szCs w:val="20"/>
              </w:rPr>
              <w:t>注一般</w:t>
            </w:r>
            <w:proofErr w:type="gramEnd"/>
            <w:r w:rsidRPr="00174C10">
              <w:rPr>
                <w:rFonts w:hAnsi="宋体" w:cs="Times New Roman" w:hint="eastAsia"/>
                <w:sz w:val="20"/>
                <w:szCs w:val="20"/>
              </w:rPr>
              <w:t>不早于前次输注后16周。</w:t>
            </w:r>
          </w:p>
        </w:tc>
      </w:tr>
      <w:tr w:rsidR="0003040D" w:rsidRPr="00174C10" w14:paraId="7FB46A3B" w14:textId="77777777" w:rsidTr="00D83154">
        <w:tc>
          <w:tcPr>
            <w:tcW w:w="2830" w:type="dxa"/>
            <w:vMerge w:val="restart"/>
          </w:tcPr>
          <w:p w14:paraId="0F2219EF" w14:textId="2F84D993" w:rsidR="0003040D" w:rsidRPr="00174C10" w:rsidRDefault="00D83154" w:rsidP="0026615C">
            <w:pPr>
              <w:pStyle w:val="Default"/>
              <w:spacing w:line="360" w:lineRule="auto"/>
              <w:contextualSpacing/>
              <w:jc w:val="both"/>
              <w:rPr>
                <w:rFonts w:hAnsi="宋体" w:cs="Times New Roman"/>
                <w:b/>
                <w:sz w:val="20"/>
                <w:szCs w:val="20"/>
              </w:rPr>
            </w:pPr>
            <w:r>
              <w:rPr>
                <w:rFonts w:hAnsi="宋体" w:cs="Times New Roman" w:hint="eastAsia"/>
                <w:b/>
                <w:sz w:val="20"/>
                <w:szCs w:val="20"/>
              </w:rPr>
              <w:t>在</w:t>
            </w:r>
            <w:r>
              <w:rPr>
                <w:rFonts w:hAnsi="宋体" w:cs="Times New Roman"/>
                <w:b/>
                <w:sz w:val="20"/>
                <w:szCs w:val="20"/>
              </w:rPr>
              <w:t>中国</w:t>
            </w:r>
            <w:r>
              <w:rPr>
                <w:rFonts w:hAnsi="宋体" w:cs="Times New Roman" w:hint="eastAsia"/>
                <w:b/>
                <w:sz w:val="20"/>
                <w:szCs w:val="20"/>
              </w:rPr>
              <w:t>（商品名</w:t>
            </w:r>
            <w:r w:rsidRPr="00174C10">
              <w:rPr>
                <w:rFonts w:hAnsi="宋体" w:cs="Times New Roman" w:hint="eastAsia"/>
                <w:b/>
                <w:sz w:val="20"/>
                <w:szCs w:val="20"/>
              </w:rPr>
              <w:t>美罗华</w:t>
            </w:r>
            <w:r w:rsidRPr="00174C10">
              <w:rPr>
                <w:rFonts w:hAnsi="宋体"/>
                <w:b/>
                <w:position w:val="10"/>
                <w:sz w:val="20"/>
                <w:szCs w:val="20"/>
              </w:rPr>
              <w:t>®</w:t>
            </w:r>
            <w:r>
              <w:rPr>
                <w:rFonts w:hAnsi="宋体" w:cs="Times New Roman" w:hint="eastAsia"/>
                <w:b/>
                <w:sz w:val="20"/>
                <w:szCs w:val="20"/>
              </w:rPr>
              <w:t>）</w:t>
            </w:r>
            <w:r>
              <w:rPr>
                <w:rFonts w:hAnsi="宋体" w:cs="Times New Roman"/>
                <w:b/>
                <w:sz w:val="20"/>
                <w:szCs w:val="20"/>
              </w:rPr>
              <w:t>批准</w:t>
            </w:r>
            <w:r>
              <w:rPr>
                <w:rFonts w:hAnsi="宋体" w:cs="Times New Roman" w:hint="eastAsia"/>
                <w:b/>
                <w:sz w:val="20"/>
                <w:szCs w:val="20"/>
              </w:rPr>
              <w:t>情况</w:t>
            </w:r>
          </w:p>
          <w:p w14:paraId="2A499063" w14:textId="1B8272FF"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6334E008" w14:textId="77777777" w:rsidR="0003040D" w:rsidRPr="00174C10" w:rsidRDefault="0003040D" w:rsidP="0026615C">
            <w:pPr>
              <w:spacing w:line="276" w:lineRule="auto"/>
              <w:rPr>
                <w:rFonts w:ascii="宋体" w:eastAsia="宋体" w:hAnsi="宋体"/>
                <w:b/>
              </w:rPr>
            </w:pPr>
            <w:r w:rsidRPr="00174C10">
              <w:rPr>
                <w:rFonts w:ascii="宋体" w:eastAsia="宋体" w:hAnsi="宋体" w:hint="eastAsia"/>
                <w:b/>
              </w:rPr>
              <w:t>非霍奇金淋巴瘤</w:t>
            </w:r>
          </w:p>
          <w:p w14:paraId="7E838A57" w14:textId="77777777" w:rsidR="0003040D" w:rsidRPr="00174C10" w:rsidRDefault="0003040D" w:rsidP="0003040D">
            <w:pPr>
              <w:pStyle w:val="a5"/>
              <w:numPr>
                <w:ilvl w:val="0"/>
                <w:numId w:val="4"/>
              </w:numPr>
              <w:spacing w:line="276" w:lineRule="auto"/>
              <w:ind w:firstLineChars="0"/>
              <w:rPr>
                <w:rFonts w:ascii="宋体" w:eastAsia="宋体" w:hAnsi="宋体"/>
              </w:rPr>
            </w:pPr>
            <w:r w:rsidRPr="00174C10">
              <w:rPr>
                <w:rFonts w:ascii="宋体" w:eastAsia="宋体" w:hAnsi="宋体" w:hint="eastAsia"/>
              </w:rPr>
              <w:t>先前未经治疗的</w:t>
            </w:r>
            <w:r w:rsidRPr="00174C10">
              <w:rPr>
                <w:rFonts w:ascii="宋体" w:eastAsia="宋体" w:hAnsi="宋体"/>
              </w:rPr>
              <w:t>CD20</w:t>
            </w:r>
            <w:r w:rsidRPr="00174C10">
              <w:rPr>
                <w:rFonts w:ascii="宋体" w:eastAsia="宋体" w:hAnsi="宋体" w:hint="eastAsia"/>
              </w:rPr>
              <w:t>阳性</w:t>
            </w:r>
            <w:r w:rsidRPr="00174C10">
              <w:rPr>
                <w:rFonts w:ascii="宋体" w:eastAsia="宋体" w:hAnsi="宋体"/>
              </w:rPr>
              <w:t>III-IV</w:t>
            </w:r>
            <w:r w:rsidRPr="00174C10">
              <w:rPr>
                <w:rFonts w:ascii="宋体" w:eastAsia="宋体" w:hAnsi="宋体" w:hint="eastAsia"/>
              </w:rPr>
              <w:t>期滤泡性非霍奇金淋巴瘤患者</w:t>
            </w:r>
            <w:r w:rsidRPr="00174C10">
              <w:rPr>
                <w:rFonts w:ascii="宋体" w:eastAsia="宋体" w:hAnsi="宋体"/>
              </w:rPr>
              <w:t>,</w:t>
            </w:r>
            <w:r w:rsidRPr="00174C10">
              <w:rPr>
                <w:rFonts w:ascii="宋体" w:eastAsia="宋体" w:hAnsi="宋体" w:hint="eastAsia"/>
              </w:rPr>
              <w:t>应与化疗联合使用。</w:t>
            </w:r>
          </w:p>
          <w:p w14:paraId="175F19FA" w14:textId="77777777" w:rsidR="0003040D" w:rsidRPr="00174C10" w:rsidRDefault="0003040D" w:rsidP="0003040D">
            <w:pPr>
              <w:pStyle w:val="a5"/>
              <w:numPr>
                <w:ilvl w:val="0"/>
                <w:numId w:val="4"/>
              </w:numPr>
              <w:spacing w:line="276" w:lineRule="auto"/>
              <w:ind w:firstLineChars="0"/>
              <w:rPr>
                <w:rFonts w:ascii="宋体" w:eastAsia="宋体" w:hAnsi="宋体"/>
              </w:rPr>
            </w:pPr>
            <w:r w:rsidRPr="00174C10">
              <w:rPr>
                <w:rFonts w:ascii="宋体" w:eastAsia="宋体" w:hAnsi="宋体" w:hint="eastAsia"/>
              </w:rPr>
              <w:t>初治滤泡性淋巴瘤患者经美罗华联合化疗后达完全或部分缓解后的单药维持治疗。</w:t>
            </w:r>
          </w:p>
          <w:p w14:paraId="367454BA" w14:textId="77777777" w:rsidR="0003040D" w:rsidRPr="00E77092" w:rsidRDefault="0003040D" w:rsidP="0003040D">
            <w:pPr>
              <w:pStyle w:val="a5"/>
              <w:numPr>
                <w:ilvl w:val="0"/>
                <w:numId w:val="4"/>
              </w:numPr>
              <w:spacing w:line="276" w:lineRule="auto"/>
              <w:ind w:firstLineChars="0"/>
              <w:rPr>
                <w:rFonts w:ascii="宋体" w:eastAsia="宋体" w:hAnsi="宋体"/>
                <w:kern w:val="0"/>
                <w:sz w:val="20"/>
                <w:szCs w:val="20"/>
              </w:rPr>
            </w:pPr>
            <w:r w:rsidRPr="00174C10">
              <w:rPr>
                <w:rFonts w:ascii="宋体" w:eastAsia="宋体" w:hAnsi="宋体" w:hint="eastAsia"/>
              </w:rPr>
              <w:t>复发或化疗耐药的滤泡性淋巴瘤。</w:t>
            </w:r>
          </w:p>
          <w:p w14:paraId="27E3334C" w14:textId="77777777" w:rsidR="0003040D" w:rsidRDefault="0003040D" w:rsidP="0026615C">
            <w:pPr>
              <w:spacing w:line="276" w:lineRule="auto"/>
              <w:rPr>
                <w:rFonts w:ascii="宋体" w:eastAsia="宋体" w:hAnsi="宋体"/>
              </w:rPr>
            </w:pPr>
          </w:p>
          <w:p w14:paraId="5233A846" w14:textId="77777777" w:rsidR="0003040D" w:rsidRDefault="0003040D" w:rsidP="0026615C">
            <w:pPr>
              <w:spacing w:line="276" w:lineRule="auto"/>
              <w:rPr>
                <w:rFonts w:ascii="宋体" w:eastAsia="宋体" w:hAnsi="宋体"/>
              </w:rPr>
            </w:pPr>
          </w:p>
          <w:p w14:paraId="22CB7214" w14:textId="77777777" w:rsidR="0003040D" w:rsidRDefault="0003040D" w:rsidP="0026615C">
            <w:pPr>
              <w:spacing w:line="276" w:lineRule="auto"/>
              <w:rPr>
                <w:rFonts w:ascii="宋体" w:eastAsia="宋体" w:hAnsi="宋体"/>
              </w:rPr>
            </w:pPr>
          </w:p>
          <w:p w14:paraId="71E42B46" w14:textId="77777777" w:rsidR="0003040D" w:rsidRDefault="0003040D" w:rsidP="0026615C">
            <w:pPr>
              <w:spacing w:line="276" w:lineRule="auto"/>
              <w:rPr>
                <w:rFonts w:ascii="宋体" w:eastAsia="宋体" w:hAnsi="宋体"/>
              </w:rPr>
            </w:pPr>
          </w:p>
          <w:p w14:paraId="595D1D9B" w14:textId="77777777" w:rsidR="0003040D" w:rsidRDefault="0003040D" w:rsidP="0026615C">
            <w:pPr>
              <w:spacing w:line="276" w:lineRule="auto"/>
              <w:rPr>
                <w:rFonts w:ascii="宋体" w:eastAsia="宋体" w:hAnsi="宋体"/>
              </w:rPr>
            </w:pPr>
          </w:p>
          <w:p w14:paraId="6445A2D7" w14:textId="77777777" w:rsidR="0003040D" w:rsidRDefault="0003040D" w:rsidP="0026615C">
            <w:pPr>
              <w:spacing w:line="276" w:lineRule="auto"/>
              <w:rPr>
                <w:rFonts w:ascii="宋体" w:eastAsia="宋体" w:hAnsi="宋体"/>
              </w:rPr>
            </w:pPr>
          </w:p>
          <w:p w14:paraId="5E8502A5" w14:textId="77777777" w:rsidR="0003040D" w:rsidRDefault="0003040D" w:rsidP="0026615C">
            <w:pPr>
              <w:spacing w:line="276" w:lineRule="auto"/>
              <w:rPr>
                <w:rFonts w:ascii="宋体" w:eastAsia="宋体" w:hAnsi="宋体"/>
              </w:rPr>
            </w:pPr>
          </w:p>
          <w:p w14:paraId="2FC36D67" w14:textId="77777777" w:rsidR="0003040D" w:rsidRDefault="0003040D" w:rsidP="0026615C">
            <w:pPr>
              <w:spacing w:line="276" w:lineRule="auto"/>
              <w:rPr>
                <w:rFonts w:ascii="宋体" w:eastAsia="宋体" w:hAnsi="宋体"/>
              </w:rPr>
            </w:pPr>
          </w:p>
          <w:p w14:paraId="7748CCC0" w14:textId="77777777" w:rsidR="0003040D" w:rsidRDefault="0003040D" w:rsidP="0026615C">
            <w:pPr>
              <w:spacing w:line="276" w:lineRule="auto"/>
              <w:rPr>
                <w:rFonts w:ascii="宋体" w:eastAsia="宋体" w:hAnsi="宋体"/>
              </w:rPr>
            </w:pPr>
          </w:p>
          <w:p w14:paraId="3EE3D4C4" w14:textId="77777777" w:rsidR="0003040D" w:rsidRDefault="0003040D" w:rsidP="0026615C">
            <w:pPr>
              <w:spacing w:line="276" w:lineRule="auto"/>
              <w:rPr>
                <w:rFonts w:ascii="宋体" w:eastAsia="宋体" w:hAnsi="宋体"/>
              </w:rPr>
            </w:pPr>
          </w:p>
          <w:p w14:paraId="45663626" w14:textId="77777777" w:rsidR="0003040D" w:rsidRPr="00E77092" w:rsidRDefault="0003040D" w:rsidP="0003040D">
            <w:pPr>
              <w:pStyle w:val="a5"/>
              <w:numPr>
                <w:ilvl w:val="0"/>
                <w:numId w:val="4"/>
              </w:numPr>
              <w:spacing w:line="276" w:lineRule="auto"/>
              <w:ind w:firstLineChars="0"/>
              <w:rPr>
                <w:rFonts w:ascii="宋体" w:eastAsia="宋体" w:hAnsi="宋体"/>
                <w:kern w:val="0"/>
                <w:sz w:val="20"/>
                <w:szCs w:val="20"/>
              </w:rPr>
            </w:pPr>
            <w:r w:rsidRPr="00E77092">
              <w:rPr>
                <w:rFonts w:ascii="宋体" w:eastAsia="宋体" w:hAnsi="宋体"/>
                <w:kern w:val="0"/>
                <w:sz w:val="20"/>
                <w:szCs w:val="20"/>
              </w:rPr>
              <w:t>CD20</w:t>
            </w:r>
            <w:r w:rsidRPr="00E77092">
              <w:rPr>
                <w:rFonts w:ascii="宋体" w:eastAsia="宋体" w:hAnsi="宋体" w:hint="eastAsia"/>
                <w:kern w:val="0"/>
                <w:sz w:val="20"/>
                <w:szCs w:val="20"/>
              </w:rPr>
              <w:t>阳性弥漫大</w:t>
            </w:r>
            <w:r w:rsidRPr="00E77092">
              <w:rPr>
                <w:rFonts w:ascii="宋体" w:eastAsia="宋体" w:hAnsi="宋体"/>
                <w:kern w:val="0"/>
                <w:sz w:val="20"/>
                <w:szCs w:val="20"/>
              </w:rPr>
              <w:t>B</w:t>
            </w:r>
            <w:r w:rsidRPr="00E77092">
              <w:rPr>
                <w:rFonts w:ascii="宋体" w:eastAsia="宋体" w:hAnsi="宋体" w:hint="eastAsia"/>
                <w:kern w:val="0"/>
                <w:sz w:val="20"/>
                <w:szCs w:val="20"/>
              </w:rPr>
              <w:t>细胞性非霍奇金淋巴瘤（</w:t>
            </w:r>
            <w:r w:rsidRPr="00E77092">
              <w:rPr>
                <w:rFonts w:ascii="宋体" w:eastAsia="宋体" w:hAnsi="宋体"/>
                <w:kern w:val="0"/>
                <w:sz w:val="20"/>
                <w:szCs w:val="20"/>
              </w:rPr>
              <w:t>DLBCL</w:t>
            </w:r>
            <w:r w:rsidRPr="00E77092">
              <w:rPr>
                <w:rFonts w:ascii="宋体" w:eastAsia="宋体" w:hAnsi="宋体" w:hint="eastAsia"/>
                <w:kern w:val="0"/>
                <w:sz w:val="20"/>
                <w:szCs w:val="20"/>
              </w:rPr>
              <w:t>）应与标准</w:t>
            </w:r>
            <w:r w:rsidRPr="00E77092">
              <w:rPr>
                <w:rFonts w:ascii="宋体" w:eastAsia="宋体" w:hAnsi="宋体"/>
                <w:kern w:val="0"/>
                <w:sz w:val="20"/>
                <w:szCs w:val="20"/>
              </w:rPr>
              <w:t>CHOP</w:t>
            </w:r>
            <w:r w:rsidRPr="00E77092">
              <w:rPr>
                <w:rFonts w:ascii="宋体" w:eastAsia="宋体" w:hAnsi="宋体" w:hint="eastAsia"/>
                <w:kern w:val="0"/>
                <w:sz w:val="20"/>
                <w:szCs w:val="20"/>
              </w:rPr>
              <w:t>化疗（环磷酰胺、阿霉素、长春新碱、强的松）</w:t>
            </w:r>
            <w:r w:rsidRPr="00E77092">
              <w:rPr>
                <w:rFonts w:ascii="宋体" w:eastAsia="宋体" w:hAnsi="宋体"/>
                <w:kern w:val="0"/>
                <w:sz w:val="20"/>
                <w:szCs w:val="20"/>
              </w:rPr>
              <w:t>8</w:t>
            </w:r>
            <w:r w:rsidRPr="00E77092">
              <w:rPr>
                <w:rFonts w:ascii="宋体" w:eastAsia="宋体" w:hAnsi="宋体" w:hint="eastAsia"/>
                <w:kern w:val="0"/>
                <w:sz w:val="20"/>
                <w:szCs w:val="20"/>
              </w:rPr>
              <w:t>个周期联合治疗。</w:t>
            </w:r>
          </w:p>
        </w:tc>
        <w:tc>
          <w:tcPr>
            <w:tcW w:w="5245" w:type="dxa"/>
          </w:tcPr>
          <w:p w14:paraId="7D382C90" w14:textId="77777777" w:rsidR="0003040D" w:rsidRPr="00E77092" w:rsidRDefault="0003040D" w:rsidP="0003040D">
            <w:pPr>
              <w:pStyle w:val="Default"/>
              <w:numPr>
                <w:ilvl w:val="0"/>
                <w:numId w:val="6"/>
              </w:numPr>
              <w:spacing w:line="276" w:lineRule="auto"/>
              <w:contextualSpacing/>
              <w:jc w:val="both"/>
              <w:rPr>
                <w:rFonts w:hAnsi="宋体" w:cstheme="minorBidi"/>
                <w:b/>
                <w:color w:val="auto"/>
                <w:kern w:val="2"/>
                <w:sz w:val="20"/>
                <w:szCs w:val="20"/>
              </w:rPr>
            </w:pPr>
            <w:r w:rsidRPr="00E77092">
              <w:rPr>
                <w:rFonts w:hAnsi="宋体" w:cstheme="minorBidi" w:hint="eastAsia"/>
                <w:b/>
                <w:color w:val="auto"/>
                <w:kern w:val="2"/>
                <w:sz w:val="20"/>
                <w:szCs w:val="20"/>
              </w:rPr>
              <w:lastRenderedPageBreak/>
              <w:t>滤泡性淋巴瘤</w:t>
            </w:r>
            <w:r w:rsidRPr="00E77092">
              <w:rPr>
                <w:rFonts w:hAnsi="宋体" w:cstheme="minorBidi"/>
                <w:b/>
                <w:color w:val="auto"/>
                <w:kern w:val="2"/>
                <w:sz w:val="20"/>
                <w:szCs w:val="20"/>
              </w:rPr>
              <w:t>：</w:t>
            </w:r>
          </w:p>
          <w:p w14:paraId="6F128B91" w14:textId="77777777" w:rsidR="0003040D" w:rsidRPr="00E77092" w:rsidRDefault="0003040D" w:rsidP="0026615C">
            <w:pPr>
              <w:pStyle w:val="Default"/>
              <w:spacing w:line="276" w:lineRule="auto"/>
              <w:ind w:left="28"/>
              <w:contextualSpacing/>
              <w:jc w:val="both"/>
              <w:rPr>
                <w:rFonts w:hAnsi="宋体" w:cstheme="minorBidi"/>
                <w:b/>
                <w:color w:val="auto"/>
                <w:kern w:val="2"/>
                <w:sz w:val="20"/>
                <w:szCs w:val="20"/>
              </w:rPr>
            </w:pPr>
            <w:r w:rsidRPr="00E77092">
              <w:rPr>
                <w:rFonts w:hAnsi="宋体" w:cstheme="minorBidi" w:hint="eastAsia"/>
                <w:b/>
                <w:color w:val="auto"/>
                <w:kern w:val="2"/>
                <w:sz w:val="20"/>
                <w:szCs w:val="20"/>
              </w:rPr>
              <w:t>初始治疗：</w:t>
            </w:r>
          </w:p>
          <w:p w14:paraId="3581323D" w14:textId="77777777" w:rsidR="0003040D" w:rsidRPr="00E77092" w:rsidRDefault="0003040D" w:rsidP="0026615C">
            <w:pPr>
              <w:pStyle w:val="Default"/>
              <w:spacing w:line="276" w:lineRule="auto"/>
              <w:ind w:left="28"/>
              <w:contextualSpacing/>
              <w:jc w:val="both"/>
              <w:rPr>
                <w:rFonts w:hAnsi="宋体" w:cstheme="minorBidi"/>
                <w:color w:val="auto"/>
                <w:kern w:val="2"/>
                <w:sz w:val="20"/>
                <w:szCs w:val="20"/>
              </w:rPr>
            </w:pPr>
            <w:r w:rsidRPr="00E77092">
              <w:rPr>
                <w:rFonts w:hAnsi="宋体" w:cstheme="minorBidi" w:hint="eastAsia"/>
                <w:color w:val="auto"/>
                <w:kern w:val="2"/>
                <w:sz w:val="20"/>
                <w:szCs w:val="20"/>
              </w:rPr>
              <w:t>作为成年患者的单一治疗药，推荐剂量为</w:t>
            </w:r>
            <w:r w:rsidRPr="00E77092">
              <w:rPr>
                <w:rFonts w:hAnsi="宋体" w:cstheme="minorBidi"/>
                <w:color w:val="auto"/>
                <w:kern w:val="2"/>
                <w:sz w:val="20"/>
                <w:szCs w:val="20"/>
              </w:rPr>
              <w:t>375 mg/m2 BSA（体表面积），静脉给入，每周一次，22天的疗程内共给药4次。</w:t>
            </w:r>
          </w:p>
          <w:p w14:paraId="38710BAD" w14:textId="77777777" w:rsidR="0003040D" w:rsidRPr="00E77092" w:rsidRDefault="0003040D" w:rsidP="0026615C">
            <w:pPr>
              <w:pStyle w:val="Default"/>
              <w:spacing w:line="276" w:lineRule="auto"/>
              <w:ind w:left="28"/>
              <w:contextualSpacing/>
              <w:jc w:val="both"/>
              <w:rPr>
                <w:rFonts w:hAnsi="宋体" w:cstheme="minorBidi"/>
                <w:color w:val="auto"/>
                <w:kern w:val="2"/>
                <w:sz w:val="20"/>
                <w:szCs w:val="20"/>
              </w:rPr>
            </w:pPr>
            <w:r w:rsidRPr="00E77092">
              <w:rPr>
                <w:rFonts w:hAnsi="宋体" w:cstheme="minorBidi" w:hint="eastAsia"/>
                <w:color w:val="auto"/>
                <w:kern w:val="2"/>
                <w:sz w:val="20"/>
                <w:szCs w:val="20"/>
              </w:rPr>
              <w:t>本品联合化疗用于初治滤泡性淋巴瘤患者的推荐剂量为：每疗程</w:t>
            </w:r>
            <w:r w:rsidRPr="00E77092">
              <w:rPr>
                <w:rFonts w:hAnsi="宋体" w:cstheme="minorBidi"/>
                <w:color w:val="auto"/>
                <w:kern w:val="2"/>
                <w:sz w:val="20"/>
                <w:szCs w:val="20"/>
              </w:rPr>
              <w:t>375 mg/m2 BSA使用8个疗程。</w:t>
            </w:r>
          </w:p>
          <w:p w14:paraId="63D9CA8E" w14:textId="77777777" w:rsidR="0003040D" w:rsidRPr="00E77092" w:rsidRDefault="0003040D" w:rsidP="0026615C">
            <w:pPr>
              <w:pStyle w:val="Default"/>
              <w:spacing w:line="276" w:lineRule="auto"/>
              <w:ind w:left="28"/>
              <w:contextualSpacing/>
              <w:jc w:val="both"/>
              <w:rPr>
                <w:rFonts w:hAnsi="宋体" w:cstheme="minorBidi"/>
                <w:color w:val="auto"/>
                <w:kern w:val="2"/>
                <w:sz w:val="20"/>
                <w:szCs w:val="20"/>
              </w:rPr>
            </w:pPr>
            <w:r w:rsidRPr="00E77092">
              <w:rPr>
                <w:rFonts w:hAnsi="宋体" w:cstheme="minorBidi" w:hint="eastAsia"/>
                <w:color w:val="auto"/>
                <w:kern w:val="2"/>
                <w:sz w:val="20"/>
                <w:szCs w:val="20"/>
              </w:rPr>
              <w:t>每次先静脉输注化疗方案中的糖皮质激素，然后在每疗程的第</w:t>
            </w:r>
            <w:r w:rsidRPr="00E77092">
              <w:rPr>
                <w:rFonts w:hAnsi="宋体" w:cstheme="minorBidi"/>
                <w:color w:val="auto"/>
                <w:kern w:val="2"/>
                <w:sz w:val="20"/>
                <w:szCs w:val="20"/>
              </w:rPr>
              <w:t>1天给药。</w:t>
            </w:r>
          </w:p>
          <w:p w14:paraId="353C9A34" w14:textId="77777777" w:rsidR="0003040D" w:rsidRPr="00E77092" w:rsidRDefault="0003040D" w:rsidP="0026615C">
            <w:pPr>
              <w:pStyle w:val="Default"/>
              <w:spacing w:line="276" w:lineRule="auto"/>
              <w:ind w:left="28"/>
              <w:contextualSpacing/>
              <w:jc w:val="both"/>
              <w:rPr>
                <w:rFonts w:hAnsi="宋体" w:cstheme="minorBidi"/>
                <w:b/>
                <w:color w:val="auto"/>
                <w:kern w:val="2"/>
                <w:sz w:val="20"/>
                <w:szCs w:val="20"/>
              </w:rPr>
            </w:pPr>
            <w:r w:rsidRPr="00E77092">
              <w:rPr>
                <w:rFonts w:hAnsi="宋体" w:cstheme="minorBidi" w:hint="eastAsia"/>
                <w:b/>
                <w:color w:val="auto"/>
                <w:kern w:val="2"/>
                <w:sz w:val="20"/>
                <w:szCs w:val="20"/>
              </w:rPr>
              <w:t>维持治疗：</w:t>
            </w:r>
          </w:p>
          <w:p w14:paraId="70F496F4" w14:textId="77777777" w:rsidR="0003040D" w:rsidRPr="00E77092" w:rsidRDefault="0003040D" w:rsidP="0026615C">
            <w:pPr>
              <w:pStyle w:val="Default"/>
              <w:spacing w:line="276" w:lineRule="auto"/>
              <w:ind w:left="28"/>
              <w:contextualSpacing/>
              <w:jc w:val="both"/>
              <w:rPr>
                <w:rFonts w:hAnsi="宋体" w:cstheme="minorBidi"/>
                <w:color w:val="auto"/>
                <w:kern w:val="2"/>
                <w:sz w:val="20"/>
                <w:szCs w:val="20"/>
              </w:rPr>
            </w:pPr>
            <w:r w:rsidRPr="00E77092">
              <w:rPr>
                <w:rFonts w:hAnsi="宋体" w:cstheme="minorBidi" w:hint="eastAsia"/>
                <w:color w:val="auto"/>
                <w:kern w:val="2"/>
                <w:sz w:val="20"/>
                <w:szCs w:val="20"/>
              </w:rPr>
              <w:t>初治患者经美罗华联合</w:t>
            </w:r>
            <w:proofErr w:type="gramStart"/>
            <w:r w:rsidRPr="00E77092">
              <w:rPr>
                <w:rFonts w:hAnsi="宋体" w:cstheme="minorBidi" w:hint="eastAsia"/>
                <w:color w:val="auto"/>
                <w:kern w:val="2"/>
                <w:sz w:val="20"/>
                <w:szCs w:val="20"/>
              </w:rPr>
              <w:t>化疗达</w:t>
            </w:r>
            <w:proofErr w:type="gramEnd"/>
            <w:r w:rsidRPr="00E77092">
              <w:rPr>
                <w:rFonts w:hAnsi="宋体" w:cstheme="minorBidi" w:hint="eastAsia"/>
                <w:color w:val="auto"/>
                <w:kern w:val="2"/>
                <w:sz w:val="20"/>
                <w:szCs w:val="20"/>
              </w:rPr>
              <w:t>完全或部分缓解后，可接受美罗华静脉输注单药维持治疗，推荐剂量为</w:t>
            </w:r>
            <w:r w:rsidRPr="00E77092">
              <w:rPr>
                <w:rFonts w:hAnsi="宋体" w:cstheme="minorBidi"/>
                <w:color w:val="auto"/>
                <w:kern w:val="2"/>
                <w:sz w:val="20"/>
                <w:szCs w:val="20"/>
              </w:rPr>
              <w:t>375mg/m2 BSA，</w:t>
            </w:r>
            <w:r w:rsidRPr="00E77092">
              <w:rPr>
                <w:rFonts w:hAnsi="宋体" w:cstheme="minorBidi"/>
                <w:color w:val="auto"/>
                <w:kern w:val="2"/>
                <w:sz w:val="20"/>
                <w:szCs w:val="20"/>
              </w:rPr>
              <w:lastRenderedPageBreak/>
              <w:t>每8周治疗一次，共输注12次。</w:t>
            </w:r>
          </w:p>
          <w:p w14:paraId="724FF537" w14:textId="77777777" w:rsidR="0003040D" w:rsidRPr="00E77092" w:rsidRDefault="0003040D" w:rsidP="0026615C">
            <w:pPr>
              <w:pStyle w:val="Default"/>
              <w:spacing w:line="276" w:lineRule="auto"/>
              <w:ind w:left="28"/>
              <w:contextualSpacing/>
              <w:jc w:val="both"/>
              <w:rPr>
                <w:rFonts w:hAnsi="宋体" w:cstheme="minorBidi"/>
                <w:b/>
                <w:color w:val="auto"/>
                <w:kern w:val="2"/>
                <w:sz w:val="20"/>
                <w:szCs w:val="20"/>
              </w:rPr>
            </w:pPr>
            <w:r w:rsidRPr="00E77092">
              <w:rPr>
                <w:rFonts w:hAnsi="宋体" w:cstheme="minorBidi" w:hint="eastAsia"/>
                <w:b/>
                <w:color w:val="auto"/>
                <w:kern w:val="2"/>
                <w:sz w:val="20"/>
                <w:szCs w:val="20"/>
              </w:rPr>
              <w:t>复发后的再治疗：</w:t>
            </w:r>
          </w:p>
          <w:p w14:paraId="007F3273" w14:textId="77777777" w:rsidR="0003040D" w:rsidRPr="00E77092" w:rsidRDefault="0003040D" w:rsidP="0026615C">
            <w:pPr>
              <w:pStyle w:val="Default"/>
              <w:spacing w:line="276" w:lineRule="auto"/>
              <w:ind w:left="28"/>
              <w:contextualSpacing/>
              <w:jc w:val="both"/>
              <w:rPr>
                <w:rFonts w:hAnsi="宋体" w:cstheme="minorBidi"/>
                <w:color w:val="auto"/>
                <w:kern w:val="2"/>
                <w:sz w:val="20"/>
                <w:szCs w:val="20"/>
              </w:rPr>
            </w:pPr>
            <w:r w:rsidRPr="00E77092">
              <w:rPr>
                <w:rFonts w:hAnsi="宋体" w:cstheme="minorBidi" w:hint="eastAsia"/>
                <w:color w:val="auto"/>
                <w:kern w:val="2"/>
                <w:sz w:val="20"/>
                <w:szCs w:val="20"/>
              </w:rPr>
              <w:t>首次治疗后复发的患者，再治疗的剂量是</w:t>
            </w:r>
            <w:r w:rsidRPr="00E77092">
              <w:rPr>
                <w:rFonts w:hAnsi="宋体" w:cstheme="minorBidi"/>
                <w:color w:val="auto"/>
                <w:kern w:val="2"/>
                <w:sz w:val="20"/>
                <w:szCs w:val="20"/>
              </w:rPr>
              <w:t>375 mg/m2 BSA，静脉滴注4周，每周一次</w:t>
            </w:r>
          </w:p>
          <w:p w14:paraId="285C2187" w14:textId="77777777" w:rsidR="00D83154" w:rsidRPr="00D83154" w:rsidRDefault="00D83154" w:rsidP="0003040D">
            <w:pPr>
              <w:pStyle w:val="Default"/>
              <w:numPr>
                <w:ilvl w:val="0"/>
                <w:numId w:val="6"/>
              </w:numPr>
              <w:spacing w:line="276" w:lineRule="auto"/>
              <w:contextualSpacing/>
              <w:jc w:val="both"/>
              <w:rPr>
                <w:rFonts w:hAnsi="宋体" w:cstheme="minorBidi"/>
                <w:color w:val="auto"/>
                <w:kern w:val="2"/>
                <w:sz w:val="20"/>
                <w:szCs w:val="20"/>
              </w:rPr>
            </w:pPr>
            <w:r w:rsidRPr="00D83154">
              <w:rPr>
                <w:rFonts w:hAnsi="宋体"/>
                <w:b/>
                <w:sz w:val="20"/>
                <w:szCs w:val="20"/>
              </w:rPr>
              <w:t>CD20</w:t>
            </w:r>
            <w:r w:rsidRPr="00D83154">
              <w:rPr>
                <w:rFonts w:hAnsi="宋体" w:hint="eastAsia"/>
                <w:b/>
                <w:sz w:val="20"/>
                <w:szCs w:val="20"/>
              </w:rPr>
              <w:t>阳性弥漫大</w:t>
            </w:r>
            <w:r w:rsidRPr="00D83154">
              <w:rPr>
                <w:rFonts w:hAnsi="宋体"/>
                <w:b/>
                <w:sz w:val="20"/>
                <w:szCs w:val="20"/>
              </w:rPr>
              <w:t>B</w:t>
            </w:r>
            <w:r w:rsidRPr="00D83154">
              <w:rPr>
                <w:rFonts w:hAnsi="宋体" w:hint="eastAsia"/>
                <w:b/>
                <w:sz w:val="20"/>
                <w:szCs w:val="20"/>
              </w:rPr>
              <w:t>细胞性非霍奇金淋巴瘤</w:t>
            </w:r>
          </w:p>
          <w:p w14:paraId="2ABF15CF" w14:textId="618437C3" w:rsidR="0003040D" w:rsidRPr="00174C10" w:rsidRDefault="0003040D" w:rsidP="00D83154">
            <w:pPr>
              <w:pStyle w:val="Default"/>
              <w:spacing w:line="276" w:lineRule="auto"/>
              <w:contextualSpacing/>
              <w:jc w:val="both"/>
              <w:rPr>
                <w:rFonts w:hAnsi="宋体" w:cstheme="minorBidi"/>
                <w:color w:val="auto"/>
                <w:kern w:val="2"/>
                <w:sz w:val="20"/>
                <w:szCs w:val="20"/>
              </w:rPr>
            </w:pPr>
            <w:r w:rsidRPr="00174C10">
              <w:rPr>
                <w:rFonts w:hAnsi="宋体" w:cstheme="minorBidi" w:hint="eastAsia"/>
                <w:color w:val="auto"/>
                <w:kern w:val="2"/>
                <w:sz w:val="20"/>
                <w:szCs w:val="20"/>
              </w:rPr>
              <w:t>与</w:t>
            </w:r>
            <w:r w:rsidRPr="00174C10">
              <w:rPr>
                <w:rFonts w:hAnsi="宋体" w:cstheme="minorBidi"/>
                <w:color w:val="auto"/>
                <w:kern w:val="2"/>
                <w:sz w:val="20"/>
                <w:szCs w:val="20"/>
              </w:rPr>
              <w:t>CHOP化疗联合使用。推荐剂量为375mg/m</w:t>
            </w:r>
            <w:r w:rsidRPr="00E77092">
              <w:rPr>
                <w:rFonts w:hAnsi="宋体" w:cstheme="minorBidi"/>
                <w:color w:val="auto"/>
                <w:kern w:val="2"/>
                <w:sz w:val="20"/>
                <w:szCs w:val="20"/>
                <w:vertAlign w:val="superscript"/>
              </w:rPr>
              <w:t>2</w:t>
            </w:r>
            <w:r w:rsidRPr="00174C10">
              <w:rPr>
                <w:rFonts w:hAnsi="宋体" w:cstheme="minorBidi"/>
                <w:color w:val="auto"/>
                <w:kern w:val="2"/>
                <w:sz w:val="20"/>
                <w:szCs w:val="20"/>
              </w:rPr>
              <w:t xml:space="preserve"> BSA ，每个化疗周期的第一天使用。</w:t>
            </w:r>
          </w:p>
        </w:tc>
      </w:tr>
      <w:tr w:rsidR="0003040D" w:rsidRPr="00174C10" w14:paraId="54599D77" w14:textId="77777777" w:rsidTr="00D83154">
        <w:tc>
          <w:tcPr>
            <w:tcW w:w="2830" w:type="dxa"/>
            <w:vMerge/>
          </w:tcPr>
          <w:p w14:paraId="475C6271" w14:textId="77777777" w:rsidR="0003040D" w:rsidRPr="00174C10" w:rsidRDefault="0003040D" w:rsidP="0026615C">
            <w:pPr>
              <w:pStyle w:val="Default"/>
              <w:spacing w:line="360" w:lineRule="auto"/>
              <w:contextualSpacing/>
              <w:jc w:val="both"/>
              <w:rPr>
                <w:rFonts w:hAnsi="宋体" w:cs="Times New Roman"/>
                <w:b/>
                <w:sz w:val="20"/>
                <w:szCs w:val="20"/>
              </w:rPr>
            </w:pPr>
          </w:p>
        </w:tc>
        <w:tc>
          <w:tcPr>
            <w:tcW w:w="5670" w:type="dxa"/>
          </w:tcPr>
          <w:p w14:paraId="3E3954CE" w14:textId="77777777" w:rsidR="0003040D" w:rsidRPr="00174C10" w:rsidRDefault="0003040D" w:rsidP="0026615C">
            <w:pPr>
              <w:spacing w:line="276" w:lineRule="auto"/>
              <w:rPr>
                <w:rFonts w:ascii="宋体" w:eastAsia="宋体" w:hAnsi="宋体"/>
                <w:b/>
              </w:rPr>
            </w:pPr>
            <w:r w:rsidRPr="00174C10">
              <w:rPr>
                <w:rFonts w:ascii="宋体" w:eastAsia="宋体" w:hAnsi="宋体" w:hint="eastAsia"/>
                <w:b/>
              </w:rPr>
              <w:t>慢性淋巴细胞白血病</w:t>
            </w:r>
          </w:p>
          <w:p w14:paraId="38772ED0" w14:textId="77777777" w:rsidR="0003040D" w:rsidRPr="00174C10" w:rsidRDefault="0003040D" w:rsidP="0026615C">
            <w:pPr>
              <w:spacing w:line="276" w:lineRule="auto"/>
              <w:rPr>
                <w:rFonts w:ascii="宋体" w:eastAsia="宋体" w:hAnsi="宋体"/>
                <w:color w:val="FF0000"/>
              </w:rPr>
            </w:pPr>
            <w:proofErr w:type="gramStart"/>
            <w:r w:rsidRPr="00174C10">
              <w:rPr>
                <w:rFonts w:ascii="宋体" w:eastAsia="宋体" w:hAnsi="宋体" w:hint="eastAsia"/>
              </w:rPr>
              <w:t>与氟达拉</w:t>
            </w:r>
            <w:proofErr w:type="gramEnd"/>
            <w:r w:rsidRPr="00174C10">
              <w:rPr>
                <w:rFonts w:ascii="宋体" w:eastAsia="宋体" w:hAnsi="宋体" w:hint="eastAsia"/>
              </w:rPr>
              <w:t>滨和环磷酰胺（</w:t>
            </w:r>
            <w:r w:rsidRPr="00174C10">
              <w:rPr>
                <w:rFonts w:ascii="宋体" w:eastAsia="宋体" w:hAnsi="宋体"/>
              </w:rPr>
              <w:t>FC）</w:t>
            </w:r>
            <w:r w:rsidRPr="00174C10">
              <w:rPr>
                <w:rFonts w:ascii="宋体" w:eastAsia="宋体" w:hAnsi="宋体" w:hint="eastAsia"/>
              </w:rPr>
              <w:t>联合治疗先前未经治疗或复发性</w:t>
            </w:r>
            <w:r w:rsidRPr="00174C10">
              <w:rPr>
                <w:rFonts w:ascii="宋体" w:eastAsia="宋体" w:hAnsi="宋体"/>
              </w:rPr>
              <w:t>/</w:t>
            </w:r>
            <w:r w:rsidRPr="00174C10">
              <w:rPr>
                <w:rFonts w:ascii="宋体" w:eastAsia="宋体" w:hAnsi="宋体" w:hint="eastAsia"/>
              </w:rPr>
              <w:t>难治性慢性淋巴细胞白血病（</w:t>
            </w:r>
            <w:r w:rsidRPr="00174C10">
              <w:rPr>
                <w:rFonts w:ascii="宋体" w:eastAsia="宋体" w:hAnsi="宋体"/>
              </w:rPr>
              <w:t>CLL</w:t>
            </w:r>
            <w:r w:rsidRPr="00174C10">
              <w:rPr>
                <w:rFonts w:ascii="宋体" w:eastAsia="宋体" w:hAnsi="宋体" w:hint="eastAsia"/>
              </w:rPr>
              <w:t>）患者。</w:t>
            </w:r>
          </w:p>
        </w:tc>
        <w:tc>
          <w:tcPr>
            <w:tcW w:w="5245" w:type="dxa"/>
          </w:tcPr>
          <w:p w14:paraId="5DFB6BF7" w14:textId="77777777" w:rsidR="00D83154" w:rsidRDefault="00D83154" w:rsidP="0026615C">
            <w:pPr>
              <w:pStyle w:val="Default"/>
              <w:contextualSpacing/>
              <w:jc w:val="both"/>
              <w:rPr>
                <w:rFonts w:hAnsi="宋体" w:cstheme="minorBidi"/>
                <w:color w:val="auto"/>
                <w:kern w:val="2"/>
                <w:sz w:val="20"/>
                <w:szCs w:val="20"/>
              </w:rPr>
            </w:pPr>
          </w:p>
          <w:p w14:paraId="4F4BC272" w14:textId="73354741" w:rsidR="0003040D" w:rsidRPr="00174C10" w:rsidRDefault="0003040D" w:rsidP="0026615C">
            <w:pPr>
              <w:pStyle w:val="Default"/>
              <w:contextualSpacing/>
              <w:jc w:val="both"/>
              <w:rPr>
                <w:rFonts w:hAnsi="宋体" w:cstheme="minorBidi"/>
                <w:color w:val="auto"/>
                <w:kern w:val="2"/>
                <w:sz w:val="20"/>
                <w:szCs w:val="20"/>
              </w:rPr>
            </w:pPr>
            <w:r>
              <w:rPr>
                <w:rFonts w:hAnsi="宋体" w:cstheme="minorBidi" w:hint="eastAsia"/>
                <w:color w:val="auto"/>
                <w:kern w:val="2"/>
                <w:sz w:val="20"/>
                <w:szCs w:val="20"/>
              </w:rPr>
              <w:t>第一</w:t>
            </w:r>
            <w:r w:rsidRPr="00174C10">
              <w:rPr>
                <w:rFonts w:hAnsi="宋体" w:cstheme="minorBidi" w:hint="eastAsia"/>
                <w:color w:val="auto"/>
                <w:kern w:val="2"/>
                <w:sz w:val="20"/>
                <w:szCs w:val="20"/>
              </w:rPr>
              <w:t>周期：375 mg/m</w:t>
            </w:r>
            <w:r w:rsidRPr="00174C10">
              <w:rPr>
                <w:rFonts w:hAnsi="宋体" w:cstheme="minorBidi" w:hint="eastAsia"/>
                <w:color w:val="auto"/>
                <w:kern w:val="2"/>
                <w:sz w:val="20"/>
                <w:szCs w:val="20"/>
                <w:vertAlign w:val="superscript"/>
              </w:rPr>
              <w:t>2</w:t>
            </w:r>
          </w:p>
          <w:p w14:paraId="286F63EF" w14:textId="77777777" w:rsidR="0003040D" w:rsidRPr="00174C10" w:rsidRDefault="0003040D" w:rsidP="0026615C">
            <w:pPr>
              <w:pStyle w:val="Default"/>
              <w:contextualSpacing/>
              <w:jc w:val="both"/>
              <w:rPr>
                <w:rFonts w:hAnsi="宋体" w:cstheme="minorBidi"/>
                <w:color w:val="auto"/>
                <w:kern w:val="2"/>
                <w:sz w:val="20"/>
                <w:szCs w:val="20"/>
              </w:rPr>
            </w:pPr>
            <w:r w:rsidRPr="00174C10">
              <w:rPr>
                <w:rFonts w:hAnsi="宋体" w:cstheme="minorBidi" w:hint="eastAsia"/>
                <w:color w:val="auto"/>
                <w:kern w:val="2"/>
                <w:sz w:val="20"/>
                <w:szCs w:val="20"/>
              </w:rPr>
              <w:t>第</w:t>
            </w:r>
            <w:r>
              <w:rPr>
                <w:rFonts w:hAnsi="宋体" w:cstheme="minorBidi" w:hint="eastAsia"/>
                <w:color w:val="auto"/>
                <w:kern w:val="2"/>
                <w:sz w:val="20"/>
                <w:szCs w:val="20"/>
              </w:rPr>
              <w:t>二到第六</w:t>
            </w:r>
            <w:r w:rsidRPr="00174C10">
              <w:rPr>
                <w:rFonts w:hAnsi="宋体" w:cstheme="minorBidi" w:hint="eastAsia"/>
                <w:color w:val="auto"/>
                <w:kern w:val="2"/>
                <w:sz w:val="20"/>
                <w:szCs w:val="20"/>
              </w:rPr>
              <w:t>周期:500mg/m</w:t>
            </w:r>
            <w:r w:rsidRPr="00174C10">
              <w:rPr>
                <w:rFonts w:hAnsi="宋体" w:cstheme="minorBidi" w:hint="eastAsia"/>
                <w:color w:val="auto"/>
                <w:kern w:val="2"/>
                <w:sz w:val="20"/>
                <w:szCs w:val="20"/>
                <w:vertAlign w:val="superscript"/>
              </w:rPr>
              <w:t>2</w:t>
            </w:r>
          </w:p>
        </w:tc>
      </w:tr>
    </w:tbl>
    <w:p w14:paraId="2F782F6F" w14:textId="77777777" w:rsidR="00D83154" w:rsidRDefault="00D83154">
      <w:pPr>
        <w:pStyle w:val="Default"/>
        <w:spacing w:line="360" w:lineRule="auto"/>
        <w:ind w:firstLineChars="200" w:firstLine="480"/>
        <w:contextualSpacing/>
        <w:jc w:val="both"/>
        <w:rPr>
          <w:rFonts w:hAnsi="宋体" w:cs="Times New Roman"/>
        </w:rPr>
        <w:sectPr w:rsidR="00D83154" w:rsidSect="00D83154">
          <w:pgSz w:w="16838" w:h="11906" w:orient="landscape"/>
          <w:pgMar w:top="1797" w:right="1440" w:bottom="1797" w:left="1440" w:header="851" w:footer="992" w:gutter="0"/>
          <w:cols w:space="425"/>
          <w:docGrid w:type="linesAndChars" w:linePitch="312"/>
        </w:sectPr>
      </w:pPr>
    </w:p>
    <w:p w14:paraId="39469526" w14:textId="77777777" w:rsidR="0096753E" w:rsidRDefault="00E462BE">
      <w:pPr>
        <w:pStyle w:val="Default"/>
        <w:spacing w:line="360" w:lineRule="auto"/>
        <w:ind w:firstLineChars="200" w:firstLine="480"/>
        <w:contextualSpacing/>
        <w:jc w:val="both"/>
        <w:rPr>
          <w:rFonts w:hAnsi="宋体" w:cs="Times New Roman"/>
        </w:rPr>
      </w:pPr>
      <w:r>
        <w:rPr>
          <w:rFonts w:hAnsi="宋体" w:cs="Times New Roman" w:hint="eastAsia"/>
        </w:rPr>
        <w:lastRenderedPageBreak/>
        <w:t>参考文献</w:t>
      </w:r>
    </w:p>
    <w:p w14:paraId="63D4AA18" w14:textId="77777777" w:rsidR="00FB6C6E" w:rsidRPr="00FB6C6E" w:rsidRDefault="00E462BE" w:rsidP="00FB6C6E">
      <w:pPr>
        <w:pStyle w:val="a5"/>
        <w:numPr>
          <w:ilvl w:val="0"/>
          <w:numId w:val="3"/>
        </w:numPr>
        <w:spacing w:line="360" w:lineRule="auto"/>
        <w:ind w:firstLineChars="0" w:firstLine="0"/>
        <w:rPr>
          <w:color w:val="0000FF"/>
          <w:u w:val="single"/>
        </w:rPr>
      </w:pPr>
      <w:r w:rsidRPr="00FB6C6E">
        <w:rPr>
          <w:rFonts w:hint="eastAsia"/>
          <w:szCs w:val="21"/>
        </w:rPr>
        <w:t>国家</w:t>
      </w:r>
      <w:r w:rsidRPr="00FB6C6E">
        <w:rPr>
          <w:szCs w:val="21"/>
        </w:rPr>
        <w:t>药品监督管理局</w:t>
      </w:r>
      <w:r w:rsidRPr="00FB6C6E">
        <w:rPr>
          <w:rFonts w:hint="eastAsia"/>
          <w:szCs w:val="21"/>
        </w:rPr>
        <w:t>。</w:t>
      </w:r>
      <w:proofErr w:type="gramStart"/>
      <w:r w:rsidRPr="00FB6C6E">
        <w:rPr>
          <w:rFonts w:hint="eastAsia"/>
          <w:szCs w:val="21"/>
        </w:rPr>
        <w:t>利妥昔单</w:t>
      </w:r>
      <w:proofErr w:type="gramEnd"/>
      <w:r w:rsidRPr="00FB6C6E">
        <w:rPr>
          <w:rFonts w:hint="eastAsia"/>
          <w:szCs w:val="21"/>
        </w:rPr>
        <w:t>抗注射液</w:t>
      </w:r>
      <w:r w:rsidRPr="00FB6C6E">
        <w:rPr>
          <w:szCs w:val="21"/>
        </w:rPr>
        <w:t>说明书.2019.</w:t>
      </w:r>
    </w:p>
    <w:p w14:paraId="708E4C02" w14:textId="77777777" w:rsidR="00FB6C6E" w:rsidRPr="00FB6C6E" w:rsidRDefault="00E462BE" w:rsidP="00FB6C6E">
      <w:pPr>
        <w:pStyle w:val="a5"/>
        <w:numPr>
          <w:ilvl w:val="0"/>
          <w:numId w:val="3"/>
        </w:numPr>
        <w:spacing w:line="360" w:lineRule="auto"/>
        <w:ind w:firstLineChars="0" w:firstLine="0"/>
        <w:rPr>
          <w:color w:val="0000FF"/>
          <w:u w:val="single"/>
        </w:rPr>
      </w:pPr>
      <w:r w:rsidRPr="00FB6C6E">
        <w:rPr>
          <w:szCs w:val="21"/>
        </w:rPr>
        <w:t>国家药品监督管理局</w:t>
      </w:r>
      <w:r w:rsidRPr="00FB6C6E">
        <w:rPr>
          <w:rFonts w:hint="eastAsia"/>
          <w:szCs w:val="21"/>
        </w:rPr>
        <w:t>。生物</w:t>
      </w:r>
      <w:proofErr w:type="gramStart"/>
      <w:r w:rsidRPr="00FB6C6E">
        <w:rPr>
          <w:rFonts w:hint="eastAsia"/>
          <w:szCs w:val="21"/>
        </w:rPr>
        <w:t>类似药</w:t>
      </w:r>
      <w:proofErr w:type="gramEnd"/>
      <w:r w:rsidRPr="00FB6C6E">
        <w:rPr>
          <w:rFonts w:hint="eastAsia"/>
          <w:szCs w:val="21"/>
        </w:rPr>
        <w:t>研发与评价技术指导原则（试行）。</w:t>
      </w:r>
      <w:r w:rsidR="0095605E">
        <w:fldChar w:fldCharType="begin"/>
      </w:r>
      <w:r w:rsidR="0095605E">
        <w:instrText xml:space="preserve"> HYPERLINK "http://www.nmpa.gov.cn/WS04/CL2138/300003.html" </w:instrText>
      </w:r>
      <w:r w:rsidR="0095605E">
        <w:fldChar w:fldCharType="separate"/>
      </w:r>
      <w:r w:rsidR="00FB6C6E" w:rsidRPr="00FB6C6E">
        <w:rPr>
          <w:rStyle w:val="a4"/>
          <w:rFonts w:hint="eastAsia"/>
          <w:szCs w:val="21"/>
        </w:rPr>
        <w:t>http://www.nmpa.gov.cn/WS04/CL2138/300003.html</w:t>
      </w:r>
      <w:r w:rsidR="0095605E">
        <w:rPr>
          <w:rStyle w:val="a4"/>
          <w:szCs w:val="21"/>
        </w:rPr>
        <w:fldChar w:fldCharType="end"/>
      </w:r>
      <w:r w:rsidRPr="00FB6C6E">
        <w:rPr>
          <w:rFonts w:hint="eastAsia"/>
          <w:szCs w:val="21"/>
        </w:rPr>
        <w:t>.</w:t>
      </w:r>
    </w:p>
    <w:p w14:paraId="1E06DB25" w14:textId="77777777" w:rsidR="00FB6C6E" w:rsidRPr="00FB6C6E" w:rsidRDefault="00E462BE" w:rsidP="00FB6C6E">
      <w:pPr>
        <w:pStyle w:val="a5"/>
        <w:numPr>
          <w:ilvl w:val="0"/>
          <w:numId w:val="3"/>
        </w:numPr>
        <w:spacing w:line="360" w:lineRule="auto"/>
        <w:ind w:firstLineChars="0" w:firstLine="0"/>
        <w:rPr>
          <w:color w:val="0000FF"/>
          <w:u w:val="single"/>
        </w:rPr>
      </w:pPr>
      <w:r w:rsidRPr="00FB6C6E">
        <w:rPr>
          <w:szCs w:val="21"/>
        </w:rPr>
        <w:t>国家药品监督管理局。以药动学参数为终点评价指标的化学药物仿制</w:t>
      </w:r>
      <w:proofErr w:type="gramStart"/>
      <w:r w:rsidRPr="00FB6C6E">
        <w:rPr>
          <w:szCs w:val="21"/>
        </w:rPr>
        <w:t>药人体</w:t>
      </w:r>
      <w:proofErr w:type="gramEnd"/>
      <w:r w:rsidRPr="00FB6C6E">
        <w:rPr>
          <w:szCs w:val="21"/>
        </w:rPr>
        <w:t>生物等效性研究技术指导原则</w:t>
      </w:r>
      <w:r w:rsidRPr="00FB6C6E">
        <w:rPr>
          <w:rFonts w:hint="eastAsia"/>
          <w:szCs w:val="21"/>
        </w:rPr>
        <w:t>。</w:t>
      </w:r>
      <w:hyperlink r:id="rId10" w:history="1">
        <w:r w:rsidR="00FB6C6E" w:rsidRPr="00FB6C6E">
          <w:rPr>
            <w:rStyle w:val="a4"/>
            <w:szCs w:val="21"/>
          </w:rPr>
          <w:t>http://www.nmpa.gov.cn/WS04/CL2042</w:t>
        </w:r>
      </w:hyperlink>
    </w:p>
    <w:p w14:paraId="0811DC02" w14:textId="77777777" w:rsidR="0096753E" w:rsidRPr="002A4B9A" w:rsidRDefault="00E462BE" w:rsidP="00FB6C6E">
      <w:pPr>
        <w:pStyle w:val="a5"/>
        <w:numPr>
          <w:ilvl w:val="0"/>
          <w:numId w:val="3"/>
        </w:numPr>
        <w:spacing w:line="360" w:lineRule="auto"/>
        <w:ind w:firstLineChars="0" w:firstLine="0"/>
        <w:rPr>
          <w:rStyle w:val="a4"/>
        </w:rPr>
      </w:pPr>
      <w:r w:rsidRPr="00FB6C6E">
        <w:rPr>
          <w:szCs w:val="21"/>
        </w:rPr>
        <w:t xml:space="preserve">U.S. Food and Drug Administration. Guidance for Industry: Clinical Pharmacology Data to Support a Demonstration of </w:t>
      </w:r>
      <w:proofErr w:type="spellStart"/>
      <w:r w:rsidRPr="00FB6C6E">
        <w:rPr>
          <w:szCs w:val="21"/>
        </w:rPr>
        <w:t>Biosimilarity</w:t>
      </w:r>
      <w:proofErr w:type="spellEnd"/>
      <w:r w:rsidRPr="00FB6C6E">
        <w:rPr>
          <w:szCs w:val="21"/>
        </w:rPr>
        <w:t xml:space="preserve"> to a Reference</w:t>
      </w:r>
      <w:r w:rsidR="0095049B" w:rsidRPr="00FB6C6E">
        <w:rPr>
          <w:szCs w:val="21"/>
        </w:rPr>
        <w:t xml:space="preserve"> Product [EB/OL]. (2016-12-29</w:t>
      </w:r>
      <w:proofErr w:type="gramStart"/>
      <w:r w:rsidR="0095049B" w:rsidRPr="00FB6C6E">
        <w:rPr>
          <w:szCs w:val="21"/>
        </w:rPr>
        <w:t>).</w:t>
      </w:r>
      <w:r w:rsidRPr="002A4B9A">
        <w:rPr>
          <w:rStyle w:val="a4"/>
        </w:rPr>
        <w:t>https://www.fda.gov/downloads/drugs/guidancecomplianceregulatoryinformation/guidances/ucm397017.pdf</w:t>
      </w:r>
      <w:proofErr w:type="gramEnd"/>
    </w:p>
    <w:p w14:paraId="3031E9BB" w14:textId="77777777" w:rsidR="0096753E" w:rsidRDefault="0096753E">
      <w:pPr>
        <w:pStyle w:val="a5"/>
        <w:spacing w:line="360" w:lineRule="auto"/>
        <w:ind w:left="360" w:firstLineChars="0" w:firstLine="0"/>
        <w:rPr>
          <w:szCs w:val="21"/>
        </w:rPr>
      </w:pPr>
    </w:p>
    <w:p w14:paraId="05E07CD6" w14:textId="77777777" w:rsidR="0096753E" w:rsidRDefault="0096753E">
      <w:pPr>
        <w:pStyle w:val="Default"/>
        <w:spacing w:line="360" w:lineRule="auto"/>
        <w:contextualSpacing/>
        <w:jc w:val="both"/>
        <w:rPr>
          <w:rFonts w:hAnsi="宋体" w:cs="Times New Roman"/>
        </w:rPr>
      </w:pPr>
    </w:p>
    <w:sectPr w:rsidR="0096753E" w:rsidSect="00D8315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5343" w14:textId="77777777" w:rsidR="0095605E" w:rsidRDefault="0095605E" w:rsidP="00D50DBC">
      <w:r>
        <w:separator/>
      </w:r>
    </w:p>
  </w:endnote>
  <w:endnote w:type="continuationSeparator" w:id="0">
    <w:p w14:paraId="5A9D9F99" w14:textId="77777777" w:rsidR="0095605E" w:rsidRDefault="0095605E" w:rsidP="00D5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933100"/>
      <w:docPartObj>
        <w:docPartGallery w:val="Page Numbers (Bottom of Page)"/>
        <w:docPartUnique/>
      </w:docPartObj>
    </w:sdtPr>
    <w:sdtEndPr>
      <w:rPr>
        <w:b/>
        <w:sz w:val="20"/>
      </w:rPr>
    </w:sdtEndPr>
    <w:sdtContent>
      <w:p w14:paraId="02134BDB" w14:textId="1B301A72" w:rsidR="00D50DBC" w:rsidRPr="00D50DBC" w:rsidRDefault="00D50DBC">
        <w:pPr>
          <w:pStyle w:val="a8"/>
          <w:jc w:val="center"/>
          <w:rPr>
            <w:b/>
            <w:sz w:val="20"/>
          </w:rPr>
        </w:pPr>
        <w:r w:rsidRPr="00D50DBC">
          <w:rPr>
            <w:b/>
            <w:sz w:val="20"/>
          </w:rPr>
          <w:fldChar w:fldCharType="begin"/>
        </w:r>
        <w:r w:rsidRPr="00D50DBC">
          <w:rPr>
            <w:b/>
            <w:sz w:val="20"/>
          </w:rPr>
          <w:instrText>PAGE   \* MERGEFORMAT</w:instrText>
        </w:r>
        <w:r w:rsidRPr="00D50DBC">
          <w:rPr>
            <w:b/>
            <w:sz w:val="20"/>
          </w:rPr>
          <w:fldChar w:fldCharType="separate"/>
        </w:r>
        <w:r w:rsidR="009817C2" w:rsidRPr="009817C2">
          <w:rPr>
            <w:b/>
            <w:noProof/>
            <w:sz w:val="20"/>
            <w:lang w:val="zh-CN"/>
          </w:rPr>
          <w:t>9</w:t>
        </w:r>
        <w:r w:rsidRPr="00D50DBC">
          <w:rPr>
            <w:b/>
            <w:sz w:val="20"/>
          </w:rPr>
          <w:fldChar w:fldCharType="end"/>
        </w:r>
      </w:p>
    </w:sdtContent>
  </w:sdt>
  <w:p w14:paraId="3951CD2D" w14:textId="77777777" w:rsidR="00D50DBC" w:rsidRDefault="00D50D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1F5F" w14:textId="77777777" w:rsidR="0095605E" w:rsidRDefault="0095605E" w:rsidP="00D50DBC">
      <w:r>
        <w:separator/>
      </w:r>
    </w:p>
  </w:footnote>
  <w:footnote w:type="continuationSeparator" w:id="0">
    <w:p w14:paraId="1A2C07E5" w14:textId="77777777" w:rsidR="0095605E" w:rsidRDefault="0095605E" w:rsidP="00D50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0C7D0E"/>
    <w:multiLevelType w:val="singleLevel"/>
    <w:tmpl w:val="8F0C7D0E"/>
    <w:lvl w:ilvl="0">
      <w:start w:val="1"/>
      <w:numFmt w:val="bullet"/>
      <w:lvlText w:val=""/>
      <w:lvlJc w:val="left"/>
      <w:pPr>
        <w:ind w:left="420" w:hanging="420"/>
      </w:pPr>
      <w:rPr>
        <w:rFonts w:ascii="Wingdings" w:hAnsi="Wingdings" w:hint="default"/>
      </w:rPr>
    </w:lvl>
  </w:abstractNum>
  <w:abstractNum w:abstractNumId="1" w15:restartNumberingAfterBreak="0">
    <w:nsid w:val="E52C1DA6"/>
    <w:multiLevelType w:val="singleLevel"/>
    <w:tmpl w:val="E52C1DA6"/>
    <w:lvl w:ilvl="0">
      <w:start w:val="1"/>
      <w:numFmt w:val="decimal"/>
      <w:suff w:val="space"/>
      <w:lvlText w:val="%1."/>
      <w:lvlJc w:val="left"/>
    </w:lvl>
  </w:abstractNum>
  <w:abstractNum w:abstractNumId="2" w15:restartNumberingAfterBreak="0">
    <w:nsid w:val="0F195F77"/>
    <w:multiLevelType w:val="hybridMultilevel"/>
    <w:tmpl w:val="799CCE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9F1D15"/>
    <w:multiLevelType w:val="hybridMultilevel"/>
    <w:tmpl w:val="AD8200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91B6F69"/>
    <w:multiLevelType w:val="hybridMultilevel"/>
    <w:tmpl w:val="B61CF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30D4902"/>
    <w:multiLevelType w:val="singleLevel"/>
    <w:tmpl w:val="730D4902"/>
    <w:lvl w:ilvl="0">
      <w:start w:val="1"/>
      <w:numFmt w:val="bullet"/>
      <w:lvlText w:val=""/>
      <w:lvlJc w:val="left"/>
      <w:pPr>
        <w:ind w:left="42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B3"/>
    <w:rsid w:val="000056C7"/>
    <w:rsid w:val="00011098"/>
    <w:rsid w:val="00013824"/>
    <w:rsid w:val="0001411E"/>
    <w:rsid w:val="00015155"/>
    <w:rsid w:val="000222E7"/>
    <w:rsid w:val="0002265C"/>
    <w:rsid w:val="0002288F"/>
    <w:rsid w:val="0003040D"/>
    <w:rsid w:val="000317E2"/>
    <w:rsid w:val="000322AC"/>
    <w:rsid w:val="00035E92"/>
    <w:rsid w:val="000423BE"/>
    <w:rsid w:val="000425B5"/>
    <w:rsid w:val="0004309A"/>
    <w:rsid w:val="00043D36"/>
    <w:rsid w:val="00045503"/>
    <w:rsid w:val="00050485"/>
    <w:rsid w:val="00055D8F"/>
    <w:rsid w:val="000577E2"/>
    <w:rsid w:val="000604B6"/>
    <w:rsid w:val="000635DB"/>
    <w:rsid w:val="00071007"/>
    <w:rsid w:val="00074FFF"/>
    <w:rsid w:val="00077CCE"/>
    <w:rsid w:val="000801BA"/>
    <w:rsid w:val="000820BA"/>
    <w:rsid w:val="000B1AE1"/>
    <w:rsid w:val="000C6B95"/>
    <w:rsid w:val="000D77B1"/>
    <w:rsid w:val="000D7A90"/>
    <w:rsid w:val="000E76FC"/>
    <w:rsid w:val="000F388D"/>
    <w:rsid w:val="001008B6"/>
    <w:rsid w:val="001111C1"/>
    <w:rsid w:val="001156F1"/>
    <w:rsid w:val="001262EE"/>
    <w:rsid w:val="001301AC"/>
    <w:rsid w:val="00141E3A"/>
    <w:rsid w:val="00146938"/>
    <w:rsid w:val="00166B8E"/>
    <w:rsid w:val="00170D9F"/>
    <w:rsid w:val="00184702"/>
    <w:rsid w:val="00187863"/>
    <w:rsid w:val="00190B5A"/>
    <w:rsid w:val="00192AA5"/>
    <w:rsid w:val="001932BB"/>
    <w:rsid w:val="001B048B"/>
    <w:rsid w:val="001C2984"/>
    <w:rsid w:val="001C668A"/>
    <w:rsid w:val="001E138C"/>
    <w:rsid w:val="001E44B7"/>
    <w:rsid w:val="00202EC3"/>
    <w:rsid w:val="00205A4D"/>
    <w:rsid w:val="0020695C"/>
    <w:rsid w:val="0021293C"/>
    <w:rsid w:val="00217BD5"/>
    <w:rsid w:val="002216CA"/>
    <w:rsid w:val="0022678A"/>
    <w:rsid w:val="002278D9"/>
    <w:rsid w:val="0022793C"/>
    <w:rsid w:val="00255397"/>
    <w:rsid w:val="00265DCC"/>
    <w:rsid w:val="00274AFD"/>
    <w:rsid w:val="0028043D"/>
    <w:rsid w:val="00284EBB"/>
    <w:rsid w:val="002864E9"/>
    <w:rsid w:val="00287E77"/>
    <w:rsid w:val="002950AC"/>
    <w:rsid w:val="002A4B9A"/>
    <w:rsid w:val="002A4F49"/>
    <w:rsid w:val="002A565E"/>
    <w:rsid w:val="002A62B4"/>
    <w:rsid w:val="002B1210"/>
    <w:rsid w:val="002B1BA5"/>
    <w:rsid w:val="002B3B48"/>
    <w:rsid w:val="002C0A6B"/>
    <w:rsid w:val="002C0F53"/>
    <w:rsid w:val="002C7BC3"/>
    <w:rsid w:val="002D1C28"/>
    <w:rsid w:val="002D2AE2"/>
    <w:rsid w:val="002D7E7E"/>
    <w:rsid w:val="002E0B8F"/>
    <w:rsid w:val="002E5548"/>
    <w:rsid w:val="002F77D0"/>
    <w:rsid w:val="00305E96"/>
    <w:rsid w:val="003067CC"/>
    <w:rsid w:val="003127BD"/>
    <w:rsid w:val="003202DA"/>
    <w:rsid w:val="00324FE0"/>
    <w:rsid w:val="00326F62"/>
    <w:rsid w:val="00341BFF"/>
    <w:rsid w:val="00346F4A"/>
    <w:rsid w:val="003470B6"/>
    <w:rsid w:val="00347FC5"/>
    <w:rsid w:val="00354625"/>
    <w:rsid w:val="003550CF"/>
    <w:rsid w:val="00355909"/>
    <w:rsid w:val="00370DD4"/>
    <w:rsid w:val="00381C9C"/>
    <w:rsid w:val="0038432C"/>
    <w:rsid w:val="0038765F"/>
    <w:rsid w:val="00391D99"/>
    <w:rsid w:val="0039415B"/>
    <w:rsid w:val="00397231"/>
    <w:rsid w:val="003A1D35"/>
    <w:rsid w:val="003A2A30"/>
    <w:rsid w:val="003A3140"/>
    <w:rsid w:val="003B6541"/>
    <w:rsid w:val="003C285D"/>
    <w:rsid w:val="003C5AFB"/>
    <w:rsid w:val="003E4A65"/>
    <w:rsid w:val="003F13AA"/>
    <w:rsid w:val="003F34D7"/>
    <w:rsid w:val="00406C21"/>
    <w:rsid w:val="004145AC"/>
    <w:rsid w:val="00415D99"/>
    <w:rsid w:val="004236CA"/>
    <w:rsid w:val="00427744"/>
    <w:rsid w:val="00434037"/>
    <w:rsid w:val="004446BE"/>
    <w:rsid w:val="00447F40"/>
    <w:rsid w:val="004545A5"/>
    <w:rsid w:val="004547CC"/>
    <w:rsid w:val="004616E0"/>
    <w:rsid w:val="00461A57"/>
    <w:rsid w:val="00470DD1"/>
    <w:rsid w:val="004767E9"/>
    <w:rsid w:val="0048169E"/>
    <w:rsid w:val="004818A2"/>
    <w:rsid w:val="004826DE"/>
    <w:rsid w:val="0048354D"/>
    <w:rsid w:val="00493541"/>
    <w:rsid w:val="004A150C"/>
    <w:rsid w:val="004A1B5B"/>
    <w:rsid w:val="004A375D"/>
    <w:rsid w:val="004B1983"/>
    <w:rsid w:val="004B26BE"/>
    <w:rsid w:val="004C5051"/>
    <w:rsid w:val="004D1208"/>
    <w:rsid w:val="004D7BBC"/>
    <w:rsid w:val="004E5A81"/>
    <w:rsid w:val="004E5ABD"/>
    <w:rsid w:val="004E736D"/>
    <w:rsid w:val="004F50AC"/>
    <w:rsid w:val="00516C63"/>
    <w:rsid w:val="005237E4"/>
    <w:rsid w:val="00526A49"/>
    <w:rsid w:val="00527285"/>
    <w:rsid w:val="00557F35"/>
    <w:rsid w:val="005616C0"/>
    <w:rsid w:val="0056219B"/>
    <w:rsid w:val="00562822"/>
    <w:rsid w:val="00566347"/>
    <w:rsid w:val="005856D2"/>
    <w:rsid w:val="00590633"/>
    <w:rsid w:val="0059332F"/>
    <w:rsid w:val="005A2117"/>
    <w:rsid w:val="005A3EE1"/>
    <w:rsid w:val="005A672E"/>
    <w:rsid w:val="005B3F76"/>
    <w:rsid w:val="005B4B7C"/>
    <w:rsid w:val="005B794E"/>
    <w:rsid w:val="005C056F"/>
    <w:rsid w:val="005C4313"/>
    <w:rsid w:val="005C76DC"/>
    <w:rsid w:val="005D0620"/>
    <w:rsid w:val="005D17FA"/>
    <w:rsid w:val="005D605B"/>
    <w:rsid w:val="005E46D2"/>
    <w:rsid w:val="005F2D47"/>
    <w:rsid w:val="005F7094"/>
    <w:rsid w:val="00610FCB"/>
    <w:rsid w:val="00630814"/>
    <w:rsid w:val="0063330E"/>
    <w:rsid w:val="006334FB"/>
    <w:rsid w:val="006371E1"/>
    <w:rsid w:val="00637F11"/>
    <w:rsid w:val="00642386"/>
    <w:rsid w:val="00650FC1"/>
    <w:rsid w:val="0065182E"/>
    <w:rsid w:val="006613F5"/>
    <w:rsid w:val="0066784C"/>
    <w:rsid w:val="0067006D"/>
    <w:rsid w:val="00672553"/>
    <w:rsid w:val="00673A8A"/>
    <w:rsid w:val="00674814"/>
    <w:rsid w:val="00675D7D"/>
    <w:rsid w:val="00675FD9"/>
    <w:rsid w:val="00682618"/>
    <w:rsid w:val="006846AB"/>
    <w:rsid w:val="00693D16"/>
    <w:rsid w:val="00694875"/>
    <w:rsid w:val="006A0124"/>
    <w:rsid w:val="006A126D"/>
    <w:rsid w:val="006A1406"/>
    <w:rsid w:val="006A1514"/>
    <w:rsid w:val="006A7259"/>
    <w:rsid w:val="006B53C8"/>
    <w:rsid w:val="006C35D1"/>
    <w:rsid w:val="006C47B7"/>
    <w:rsid w:val="006C4CAB"/>
    <w:rsid w:val="006C6689"/>
    <w:rsid w:val="006C7977"/>
    <w:rsid w:val="006D05D5"/>
    <w:rsid w:val="006E174B"/>
    <w:rsid w:val="006E4435"/>
    <w:rsid w:val="006E554A"/>
    <w:rsid w:val="006E56C3"/>
    <w:rsid w:val="006F39CB"/>
    <w:rsid w:val="006F5262"/>
    <w:rsid w:val="00700F81"/>
    <w:rsid w:val="0070390C"/>
    <w:rsid w:val="00705676"/>
    <w:rsid w:val="007127AD"/>
    <w:rsid w:val="0074301A"/>
    <w:rsid w:val="00755219"/>
    <w:rsid w:val="00760333"/>
    <w:rsid w:val="007629DE"/>
    <w:rsid w:val="00764EE8"/>
    <w:rsid w:val="00765E24"/>
    <w:rsid w:val="007710EA"/>
    <w:rsid w:val="00771255"/>
    <w:rsid w:val="00774C5B"/>
    <w:rsid w:val="00781E60"/>
    <w:rsid w:val="00782A71"/>
    <w:rsid w:val="00791354"/>
    <w:rsid w:val="007A2E5F"/>
    <w:rsid w:val="007A538F"/>
    <w:rsid w:val="007C0710"/>
    <w:rsid w:val="007D11FC"/>
    <w:rsid w:val="007D25FF"/>
    <w:rsid w:val="007E2080"/>
    <w:rsid w:val="008053C3"/>
    <w:rsid w:val="0080663C"/>
    <w:rsid w:val="00815B38"/>
    <w:rsid w:val="00822E45"/>
    <w:rsid w:val="0082650B"/>
    <w:rsid w:val="00833324"/>
    <w:rsid w:val="00833413"/>
    <w:rsid w:val="0083404E"/>
    <w:rsid w:val="00844DA7"/>
    <w:rsid w:val="008466B3"/>
    <w:rsid w:val="00864082"/>
    <w:rsid w:val="00865A5B"/>
    <w:rsid w:val="008739A0"/>
    <w:rsid w:val="008779AE"/>
    <w:rsid w:val="008811A7"/>
    <w:rsid w:val="00886794"/>
    <w:rsid w:val="008963D4"/>
    <w:rsid w:val="008A51D5"/>
    <w:rsid w:val="008B0B9D"/>
    <w:rsid w:val="008B2B7F"/>
    <w:rsid w:val="008B3CE4"/>
    <w:rsid w:val="008B454B"/>
    <w:rsid w:val="008B76A1"/>
    <w:rsid w:val="008C7D16"/>
    <w:rsid w:val="008D4433"/>
    <w:rsid w:val="008D4D62"/>
    <w:rsid w:val="008D757D"/>
    <w:rsid w:val="008E245D"/>
    <w:rsid w:val="008E3EC0"/>
    <w:rsid w:val="008F1C7A"/>
    <w:rsid w:val="008F311D"/>
    <w:rsid w:val="008F687B"/>
    <w:rsid w:val="008F7102"/>
    <w:rsid w:val="00903D9B"/>
    <w:rsid w:val="00910E0C"/>
    <w:rsid w:val="00923DDC"/>
    <w:rsid w:val="00925FDD"/>
    <w:rsid w:val="00937101"/>
    <w:rsid w:val="0094368B"/>
    <w:rsid w:val="0094490A"/>
    <w:rsid w:val="00947CDF"/>
    <w:rsid w:val="0095049B"/>
    <w:rsid w:val="0095605E"/>
    <w:rsid w:val="0096753E"/>
    <w:rsid w:val="009706D1"/>
    <w:rsid w:val="00970A8D"/>
    <w:rsid w:val="00972ABF"/>
    <w:rsid w:val="00973054"/>
    <w:rsid w:val="00980F0D"/>
    <w:rsid w:val="009817C2"/>
    <w:rsid w:val="009875D3"/>
    <w:rsid w:val="00994C34"/>
    <w:rsid w:val="00994DE6"/>
    <w:rsid w:val="00997241"/>
    <w:rsid w:val="009B03AF"/>
    <w:rsid w:val="009B17D8"/>
    <w:rsid w:val="009B7B62"/>
    <w:rsid w:val="009C79EB"/>
    <w:rsid w:val="009E26D9"/>
    <w:rsid w:val="009E36C3"/>
    <w:rsid w:val="009E43C4"/>
    <w:rsid w:val="009E567B"/>
    <w:rsid w:val="009E7F39"/>
    <w:rsid w:val="00A072F8"/>
    <w:rsid w:val="00A20C2E"/>
    <w:rsid w:val="00A23E73"/>
    <w:rsid w:val="00A2675D"/>
    <w:rsid w:val="00A333D7"/>
    <w:rsid w:val="00A353C9"/>
    <w:rsid w:val="00A43C79"/>
    <w:rsid w:val="00A50B14"/>
    <w:rsid w:val="00A52FD9"/>
    <w:rsid w:val="00A57BA5"/>
    <w:rsid w:val="00A64710"/>
    <w:rsid w:val="00A73A55"/>
    <w:rsid w:val="00A75DBA"/>
    <w:rsid w:val="00A836B3"/>
    <w:rsid w:val="00A95F29"/>
    <w:rsid w:val="00AA0CBC"/>
    <w:rsid w:val="00AA2681"/>
    <w:rsid w:val="00AB71E2"/>
    <w:rsid w:val="00B056DB"/>
    <w:rsid w:val="00B1288A"/>
    <w:rsid w:val="00B14E6D"/>
    <w:rsid w:val="00B2422A"/>
    <w:rsid w:val="00B4274E"/>
    <w:rsid w:val="00B44E1B"/>
    <w:rsid w:val="00B56BBC"/>
    <w:rsid w:val="00B65865"/>
    <w:rsid w:val="00B75B62"/>
    <w:rsid w:val="00B80DB1"/>
    <w:rsid w:val="00B83F36"/>
    <w:rsid w:val="00B8571C"/>
    <w:rsid w:val="00B932E3"/>
    <w:rsid w:val="00BC0515"/>
    <w:rsid w:val="00BC79CA"/>
    <w:rsid w:val="00BD33A2"/>
    <w:rsid w:val="00BD721A"/>
    <w:rsid w:val="00BE0B60"/>
    <w:rsid w:val="00BE1659"/>
    <w:rsid w:val="00BE7585"/>
    <w:rsid w:val="00C0515D"/>
    <w:rsid w:val="00C123B1"/>
    <w:rsid w:val="00C16601"/>
    <w:rsid w:val="00C35086"/>
    <w:rsid w:val="00C35B7C"/>
    <w:rsid w:val="00C41D7E"/>
    <w:rsid w:val="00C535FF"/>
    <w:rsid w:val="00C57164"/>
    <w:rsid w:val="00C73848"/>
    <w:rsid w:val="00C829A4"/>
    <w:rsid w:val="00C86D48"/>
    <w:rsid w:val="00C879EF"/>
    <w:rsid w:val="00C917B4"/>
    <w:rsid w:val="00C9382B"/>
    <w:rsid w:val="00C93907"/>
    <w:rsid w:val="00C94875"/>
    <w:rsid w:val="00CB5AA5"/>
    <w:rsid w:val="00CC2E05"/>
    <w:rsid w:val="00CC482C"/>
    <w:rsid w:val="00CC4E26"/>
    <w:rsid w:val="00CC5216"/>
    <w:rsid w:val="00CE7349"/>
    <w:rsid w:val="00CF0188"/>
    <w:rsid w:val="00CF4589"/>
    <w:rsid w:val="00CF5B42"/>
    <w:rsid w:val="00CF6965"/>
    <w:rsid w:val="00D304E9"/>
    <w:rsid w:val="00D31966"/>
    <w:rsid w:val="00D337BA"/>
    <w:rsid w:val="00D46E32"/>
    <w:rsid w:val="00D50DBC"/>
    <w:rsid w:val="00D52FC8"/>
    <w:rsid w:val="00D62F4F"/>
    <w:rsid w:val="00D63D4E"/>
    <w:rsid w:val="00D71E37"/>
    <w:rsid w:val="00D73264"/>
    <w:rsid w:val="00D74BBD"/>
    <w:rsid w:val="00D83154"/>
    <w:rsid w:val="00D95FF3"/>
    <w:rsid w:val="00DA3A73"/>
    <w:rsid w:val="00DA52EF"/>
    <w:rsid w:val="00DB6904"/>
    <w:rsid w:val="00DC137F"/>
    <w:rsid w:val="00DC310B"/>
    <w:rsid w:val="00DC555D"/>
    <w:rsid w:val="00DD06FE"/>
    <w:rsid w:val="00DD79B1"/>
    <w:rsid w:val="00DE26E8"/>
    <w:rsid w:val="00DE5DE2"/>
    <w:rsid w:val="00DF2F0F"/>
    <w:rsid w:val="00E023FA"/>
    <w:rsid w:val="00E0494B"/>
    <w:rsid w:val="00E11A78"/>
    <w:rsid w:val="00E16C0E"/>
    <w:rsid w:val="00E21143"/>
    <w:rsid w:val="00E260A1"/>
    <w:rsid w:val="00E31FD8"/>
    <w:rsid w:val="00E4354D"/>
    <w:rsid w:val="00E462BE"/>
    <w:rsid w:val="00E5384F"/>
    <w:rsid w:val="00E61EFF"/>
    <w:rsid w:val="00E676E1"/>
    <w:rsid w:val="00E753BD"/>
    <w:rsid w:val="00E76E7E"/>
    <w:rsid w:val="00EA690F"/>
    <w:rsid w:val="00EB19DE"/>
    <w:rsid w:val="00EB2049"/>
    <w:rsid w:val="00EB2E05"/>
    <w:rsid w:val="00EC0DD6"/>
    <w:rsid w:val="00EC228F"/>
    <w:rsid w:val="00EC2F5F"/>
    <w:rsid w:val="00EC3E8F"/>
    <w:rsid w:val="00ED1C2A"/>
    <w:rsid w:val="00EF1049"/>
    <w:rsid w:val="00EF5C0A"/>
    <w:rsid w:val="00F06129"/>
    <w:rsid w:val="00F140B9"/>
    <w:rsid w:val="00F2195C"/>
    <w:rsid w:val="00F24D50"/>
    <w:rsid w:val="00F304DA"/>
    <w:rsid w:val="00F32989"/>
    <w:rsid w:val="00F3360A"/>
    <w:rsid w:val="00F411F2"/>
    <w:rsid w:val="00F46A9F"/>
    <w:rsid w:val="00F50845"/>
    <w:rsid w:val="00F56C09"/>
    <w:rsid w:val="00F83A55"/>
    <w:rsid w:val="00F86EAC"/>
    <w:rsid w:val="00F905A3"/>
    <w:rsid w:val="00FA7728"/>
    <w:rsid w:val="00FB5349"/>
    <w:rsid w:val="00FB6C6E"/>
    <w:rsid w:val="00FC2EDC"/>
    <w:rsid w:val="00FD18C6"/>
    <w:rsid w:val="00FF108F"/>
    <w:rsid w:val="00FF46A9"/>
    <w:rsid w:val="00FF6EC7"/>
    <w:rsid w:val="0B6F0C33"/>
    <w:rsid w:val="0C2E4FCD"/>
    <w:rsid w:val="16B2167F"/>
    <w:rsid w:val="19101973"/>
    <w:rsid w:val="1D8A25C5"/>
    <w:rsid w:val="1DC72A67"/>
    <w:rsid w:val="20180AB9"/>
    <w:rsid w:val="212770A4"/>
    <w:rsid w:val="37BF2785"/>
    <w:rsid w:val="38F23FA0"/>
    <w:rsid w:val="3C983674"/>
    <w:rsid w:val="41154FD3"/>
    <w:rsid w:val="4B060025"/>
    <w:rsid w:val="53DE3A81"/>
    <w:rsid w:val="56AC69B8"/>
    <w:rsid w:val="5A982147"/>
    <w:rsid w:val="5DF85F76"/>
    <w:rsid w:val="5FB04453"/>
    <w:rsid w:val="65FC2CBE"/>
    <w:rsid w:val="7967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9880"/>
  <w15:docId w15:val="{D4B0FCDE-2293-4A58-9CC9-9BD0E5CB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u w:val="single"/>
    </w:rPr>
  </w:style>
  <w:style w:type="paragraph" w:customStyle="1" w:styleId="3">
    <w:name w:val="样式3"/>
    <w:basedOn w:val="a"/>
    <w:link w:val="3Char"/>
    <w:qFormat/>
    <w:pPr>
      <w:spacing w:beforeLines="50" w:before="156" w:afterLines="50" w:after="156" w:line="300" w:lineRule="auto"/>
      <w:ind w:firstLineChars="200" w:firstLine="480"/>
    </w:pPr>
    <w:rPr>
      <w:rFonts w:ascii="Times New Roman" w:hAnsi="Times New Roman" w:cs="Times New Roman"/>
      <w:sz w:val="24"/>
      <w:szCs w:val="24"/>
    </w:rPr>
  </w:style>
  <w:style w:type="character" w:customStyle="1" w:styleId="3Char">
    <w:name w:val="样式3 Char"/>
    <w:basedOn w:val="a0"/>
    <w:link w:val="3"/>
    <w:qFormat/>
    <w:rPr>
      <w:rFonts w:ascii="Times New Roman" w:hAnsi="Times New Roman" w:cs="Times New Roman"/>
      <w:sz w:val="24"/>
      <w:szCs w:val="24"/>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styleId="a5">
    <w:name w:val="List Paragraph"/>
    <w:basedOn w:val="a"/>
    <w:uiPriority w:val="34"/>
    <w:qFormat/>
    <w:pPr>
      <w:ind w:firstLineChars="200" w:firstLine="420"/>
    </w:pPr>
  </w:style>
  <w:style w:type="paragraph" w:styleId="a6">
    <w:name w:val="header"/>
    <w:basedOn w:val="a"/>
    <w:link w:val="a7"/>
    <w:uiPriority w:val="99"/>
    <w:unhideWhenUsed/>
    <w:rsid w:val="00D50DB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50DBC"/>
    <w:rPr>
      <w:kern w:val="2"/>
      <w:sz w:val="18"/>
      <w:szCs w:val="18"/>
    </w:rPr>
  </w:style>
  <w:style w:type="paragraph" w:styleId="a8">
    <w:name w:val="footer"/>
    <w:basedOn w:val="a"/>
    <w:link w:val="a9"/>
    <w:uiPriority w:val="99"/>
    <w:unhideWhenUsed/>
    <w:rsid w:val="00D50DBC"/>
    <w:pPr>
      <w:tabs>
        <w:tab w:val="center" w:pos="4153"/>
        <w:tab w:val="right" w:pos="8306"/>
      </w:tabs>
      <w:snapToGrid w:val="0"/>
      <w:jc w:val="left"/>
    </w:pPr>
    <w:rPr>
      <w:sz w:val="18"/>
      <w:szCs w:val="18"/>
    </w:rPr>
  </w:style>
  <w:style w:type="character" w:customStyle="1" w:styleId="a9">
    <w:name w:val="页脚 字符"/>
    <w:basedOn w:val="a0"/>
    <w:link w:val="a8"/>
    <w:uiPriority w:val="99"/>
    <w:rsid w:val="00D50DBC"/>
    <w:rPr>
      <w:kern w:val="2"/>
      <w:sz w:val="18"/>
      <w:szCs w:val="18"/>
    </w:rPr>
  </w:style>
  <w:style w:type="character" w:styleId="aa">
    <w:name w:val="annotation reference"/>
    <w:basedOn w:val="a0"/>
    <w:uiPriority w:val="99"/>
    <w:semiHidden/>
    <w:unhideWhenUsed/>
    <w:rsid w:val="00526A49"/>
    <w:rPr>
      <w:sz w:val="21"/>
      <w:szCs w:val="21"/>
    </w:rPr>
  </w:style>
  <w:style w:type="paragraph" w:styleId="ab">
    <w:name w:val="annotation text"/>
    <w:basedOn w:val="a"/>
    <w:link w:val="ac"/>
    <w:uiPriority w:val="99"/>
    <w:semiHidden/>
    <w:unhideWhenUsed/>
    <w:rsid w:val="00526A49"/>
    <w:pPr>
      <w:jc w:val="left"/>
    </w:pPr>
  </w:style>
  <w:style w:type="character" w:customStyle="1" w:styleId="ac">
    <w:name w:val="批注文字 字符"/>
    <w:basedOn w:val="a0"/>
    <w:link w:val="ab"/>
    <w:uiPriority w:val="99"/>
    <w:semiHidden/>
    <w:rsid w:val="00526A49"/>
    <w:rPr>
      <w:kern w:val="2"/>
      <w:sz w:val="21"/>
      <w:szCs w:val="22"/>
    </w:rPr>
  </w:style>
  <w:style w:type="paragraph" w:styleId="ad">
    <w:name w:val="annotation subject"/>
    <w:basedOn w:val="ab"/>
    <w:next w:val="ab"/>
    <w:link w:val="ae"/>
    <w:uiPriority w:val="99"/>
    <w:semiHidden/>
    <w:unhideWhenUsed/>
    <w:rsid w:val="00526A49"/>
    <w:rPr>
      <w:b/>
      <w:bCs/>
    </w:rPr>
  </w:style>
  <w:style w:type="character" w:customStyle="1" w:styleId="ae">
    <w:name w:val="批注主题 字符"/>
    <w:basedOn w:val="ac"/>
    <w:link w:val="ad"/>
    <w:uiPriority w:val="99"/>
    <w:semiHidden/>
    <w:rsid w:val="00526A49"/>
    <w:rPr>
      <w:b/>
      <w:bCs/>
      <w:kern w:val="2"/>
      <w:sz w:val="21"/>
      <w:szCs w:val="22"/>
    </w:rPr>
  </w:style>
  <w:style w:type="paragraph" w:styleId="af">
    <w:name w:val="Balloon Text"/>
    <w:basedOn w:val="a"/>
    <w:link w:val="af0"/>
    <w:uiPriority w:val="99"/>
    <w:semiHidden/>
    <w:unhideWhenUsed/>
    <w:rsid w:val="00526A49"/>
    <w:rPr>
      <w:sz w:val="18"/>
      <w:szCs w:val="18"/>
    </w:rPr>
  </w:style>
  <w:style w:type="character" w:customStyle="1" w:styleId="af0">
    <w:name w:val="批注框文本 字符"/>
    <w:basedOn w:val="a0"/>
    <w:link w:val="af"/>
    <w:uiPriority w:val="99"/>
    <w:semiHidden/>
    <w:rsid w:val="00526A49"/>
    <w:rPr>
      <w:kern w:val="2"/>
      <w:sz w:val="18"/>
      <w:szCs w:val="18"/>
    </w:rPr>
  </w:style>
  <w:style w:type="paragraph" w:styleId="af1">
    <w:name w:val="Revision"/>
    <w:hidden/>
    <w:uiPriority w:val="99"/>
    <w:semiHidden/>
    <w:rsid w:val="000304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mpa.gov.cn/WS04/CL2042"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49A03-D675-4553-BFE5-4BCEF89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唐凌</dc:creator>
  <cp:lastModifiedBy>唐凌</cp:lastModifiedBy>
  <cp:revision>7</cp:revision>
  <cp:lastPrinted>2020-03-03T00:47:00Z</cp:lastPrinted>
  <dcterms:created xsi:type="dcterms:W3CDTF">2020-03-12T04:10:00Z</dcterms:created>
  <dcterms:modified xsi:type="dcterms:W3CDTF">2020-03-12T07:50:00Z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