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587E7" w14:textId="77777777" w:rsidR="00C90226" w:rsidRDefault="00C90226" w:rsidP="00AB3AC7">
      <w:pPr>
        <w:widowControl/>
        <w:adjustRightInd w:val="0"/>
        <w:snapToGrid w:val="0"/>
        <w:jc w:val="center"/>
        <w:outlineLvl w:val="0"/>
        <w:rPr>
          <w:rFonts w:ascii="方正小标宋简体" w:eastAsia="方正小标宋简体" w:hAnsi="Calibri" w:cs="Times New Roman"/>
          <w:sz w:val="36"/>
          <w:szCs w:val="36"/>
        </w:rPr>
      </w:pPr>
      <w:r w:rsidRPr="004B5DC1">
        <w:rPr>
          <w:rFonts w:ascii="方正小标宋简体" w:eastAsia="方正小标宋简体" w:hAnsi="Calibri" w:cs="Times New Roman" w:hint="eastAsia"/>
          <w:sz w:val="36"/>
          <w:szCs w:val="36"/>
        </w:rPr>
        <w:t>《</w:t>
      </w:r>
      <w:r w:rsidRPr="00C90226">
        <w:rPr>
          <w:rFonts w:ascii="方正小标宋简体" w:eastAsia="方正小标宋简体" w:hAnsi="Calibri" w:cs="Times New Roman" w:hint="eastAsia"/>
          <w:sz w:val="36"/>
          <w:szCs w:val="36"/>
        </w:rPr>
        <w:t>氟维司群注射液仿制药研究技术指导原则</w:t>
      </w:r>
      <w:r w:rsidRPr="004B5DC1">
        <w:rPr>
          <w:rFonts w:ascii="方正小标宋简体" w:eastAsia="方正小标宋简体" w:hAnsi="Calibri" w:cs="Times New Roman" w:hint="eastAsia"/>
          <w:sz w:val="36"/>
          <w:szCs w:val="36"/>
        </w:rPr>
        <w:t>》</w:t>
      </w:r>
    </w:p>
    <w:p w14:paraId="4FBB87ED" w14:textId="7B93B676" w:rsidR="00C90226" w:rsidRDefault="00C90226" w:rsidP="00AB3AC7">
      <w:pPr>
        <w:widowControl/>
        <w:adjustRightInd w:val="0"/>
        <w:snapToGrid w:val="0"/>
        <w:jc w:val="center"/>
        <w:outlineLvl w:val="0"/>
        <w:rPr>
          <w:rFonts w:ascii="仿宋_GB2312" w:eastAsia="仿宋_GB2312" w:hAnsi="Calibri" w:cs="Times New Roman"/>
          <w:sz w:val="32"/>
          <w:szCs w:val="32"/>
        </w:rPr>
      </w:pPr>
      <w:r w:rsidRPr="004B5DC1">
        <w:rPr>
          <w:rFonts w:ascii="方正小标宋简体" w:eastAsia="方正小标宋简体" w:hAnsi="Calibri" w:cs="Times New Roman" w:hint="eastAsia"/>
          <w:sz w:val="36"/>
          <w:szCs w:val="36"/>
        </w:rPr>
        <w:t>（</w:t>
      </w:r>
      <w:r w:rsidR="00355DF1">
        <w:rPr>
          <w:rFonts w:ascii="方正小标宋简体" w:eastAsia="方正小标宋简体" w:hAnsi="Calibri" w:cs="Times New Roman" w:hint="eastAsia"/>
          <w:sz w:val="36"/>
          <w:szCs w:val="36"/>
        </w:rPr>
        <w:t>征求</w:t>
      </w:r>
      <w:r w:rsidR="00355DF1">
        <w:rPr>
          <w:rFonts w:ascii="方正小标宋简体" w:eastAsia="方正小标宋简体" w:hAnsi="Calibri" w:cs="Times New Roman"/>
          <w:sz w:val="36"/>
          <w:szCs w:val="36"/>
        </w:rPr>
        <w:t>意见稿</w:t>
      </w:r>
      <w:bookmarkStart w:id="0" w:name="_GoBack"/>
      <w:bookmarkEnd w:id="0"/>
      <w:r w:rsidRPr="004B5DC1">
        <w:rPr>
          <w:rFonts w:ascii="方正小标宋简体" w:eastAsia="方正小标宋简体" w:hAnsi="Calibri" w:cs="Times New Roman" w:hint="eastAsia"/>
          <w:sz w:val="36"/>
          <w:szCs w:val="36"/>
        </w:rPr>
        <w:t>）起草说明</w:t>
      </w:r>
    </w:p>
    <w:p w14:paraId="685A7539" w14:textId="77777777" w:rsidR="00C90226" w:rsidRDefault="00C90226" w:rsidP="00C90226">
      <w:pPr>
        <w:widowControl/>
        <w:adjustRightInd w:val="0"/>
        <w:snapToGrid w:val="0"/>
        <w:spacing w:line="360" w:lineRule="auto"/>
        <w:ind w:firstLineChars="200" w:firstLine="640"/>
        <w:rPr>
          <w:rFonts w:ascii="黑体" w:eastAsia="黑体" w:hAnsi="黑体" w:cs="Times New Roman"/>
          <w:sz w:val="32"/>
          <w:szCs w:val="32"/>
        </w:rPr>
      </w:pPr>
    </w:p>
    <w:p w14:paraId="714FFBA6" w14:textId="77777777" w:rsidR="00A551B2" w:rsidRPr="00697009" w:rsidRDefault="00A551B2" w:rsidP="00A551B2">
      <w:pPr>
        <w:widowControl/>
        <w:adjustRightInd w:val="0"/>
        <w:snapToGrid w:val="0"/>
        <w:spacing w:line="360" w:lineRule="auto"/>
        <w:ind w:firstLineChars="200" w:firstLine="640"/>
        <w:rPr>
          <w:rFonts w:ascii="黑体" w:eastAsia="黑体" w:hAnsi="黑体" w:cs="Times New Roman"/>
          <w:sz w:val="32"/>
          <w:szCs w:val="32"/>
        </w:rPr>
      </w:pPr>
      <w:r w:rsidRPr="00697009">
        <w:rPr>
          <w:rFonts w:ascii="黑体" w:eastAsia="黑体" w:hAnsi="黑体" w:cs="Times New Roman" w:hint="eastAsia"/>
          <w:sz w:val="32"/>
          <w:szCs w:val="32"/>
        </w:rPr>
        <w:t>一、起草背景</w:t>
      </w:r>
    </w:p>
    <w:p w14:paraId="2475F762" w14:textId="77777777" w:rsidR="00C90226" w:rsidRDefault="00C90226" w:rsidP="00244484">
      <w:pPr>
        <w:widowControl/>
        <w:adjustRightInd w:val="0"/>
        <w:snapToGrid w:val="0"/>
        <w:spacing w:line="360" w:lineRule="auto"/>
        <w:ind w:firstLineChars="200" w:firstLine="640"/>
        <w:rPr>
          <w:rFonts w:ascii="仿宋_GB2312" w:eastAsia="仿宋_GB2312" w:hAnsi="Times New Roman" w:cs="Times New Roman"/>
          <w:sz w:val="32"/>
          <w:szCs w:val="32"/>
        </w:rPr>
      </w:pPr>
      <w:proofErr w:type="gramStart"/>
      <w:r w:rsidRPr="00C90226">
        <w:rPr>
          <w:rFonts w:ascii="仿宋_GB2312" w:eastAsia="仿宋_GB2312" w:hAnsi="Times New Roman" w:cs="Times New Roman" w:hint="eastAsia"/>
          <w:sz w:val="32"/>
          <w:szCs w:val="32"/>
        </w:rPr>
        <w:t>氟维司群</w:t>
      </w:r>
      <w:proofErr w:type="gramEnd"/>
      <w:r w:rsidRPr="00C90226">
        <w:rPr>
          <w:rFonts w:ascii="仿宋_GB2312" w:eastAsia="仿宋_GB2312" w:hAnsi="Times New Roman" w:cs="Times New Roman" w:hint="eastAsia"/>
          <w:sz w:val="32"/>
          <w:szCs w:val="32"/>
        </w:rPr>
        <w:t>注射液</w:t>
      </w:r>
      <w:r>
        <w:rPr>
          <w:rFonts w:ascii="仿宋_GB2312" w:eastAsia="仿宋_GB2312" w:hAnsi="Times New Roman" w:cs="Times New Roman" w:hint="eastAsia"/>
          <w:sz w:val="32"/>
          <w:szCs w:val="32"/>
        </w:rPr>
        <w:t>于</w:t>
      </w:r>
      <w:r w:rsidRPr="00C90226">
        <w:rPr>
          <w:rFonts w:ascii="仿宋_GB2312" w:eastAsia="仿宋_GB2312" w:hAnsi="Times New Roman" w:cs="Times New Roman"/>
          <w:sz w:val="32"/>
          <w:szCs w:val="32"/>
        </w:rPr>
        <w:t>2019年6月被国家</w:t>
      </w:r>
      <w:proofErr w:type="gramStart"/>
      <w:r w:rsidRPr="00C90226">
        <w:rPr>
          <w:rFonts w:ascii="仿宋_GB2312" w:eastAsia="仿宋_GB2312" w:hAnsi="Times New Roman" w:cs="Times New Roman"/>
          <w:sz w:val="32"/>
          <w:szCs w:val="32"/>
        </w:rPr>
        <w:t>卫健委列入</w:t>
      </w:r>
      <w:proofErr w:type="gramEnd"/>
      <w:r w:rsidRPr="00C90226">
        <w:rPr>
          <w:rFonts w:ascii="仿宋_GB2312" w:eastAsia="仿宋_GB2312" w:hAnsi="Times New Roman" w:cs="Times New Roman"/>
          <w:sz w:val="32"/>
          <w:szCs w:val="32"/>
        </w:rPr>
        <w:t>第一批鼓励仿制药品目录。</w:t>
      </w:r>
      <w:r w:rsidR="00FA1331">
        <w:rPr>
          <w:rFonts w:ascii="仿宋_GB2312" w:eastAsia="仿宋_GB2312" w:hAnsi="Times New Roman" w:cs="Times New Roman" w:hint="eastAsia"/>
          <w:sz w:val="32"/>
          <w:szCs w:val="32"/>
        </w:rPr>
        <w:t>截至2020年7月</w:t>
      </w:r>
      <w:r w:rsidRPr="00C90226">
        <w:rPr>
          <w:rFonts w:ascii="仿宋_GB2312" w:eastAsia="仿宋_GB2312" w:hAnsi="Times New Roman" w:cs="Times New Roman"/>
          <w:sz w:val="32"/>
          <w:szCs w:val="32"/>
        </w:rPr>
        <w:t>，国内</w:t>
      </w:r>
      <w:r w:rsidR="003271DE">
        <w:rPr>
          <w:rFonts w:ascii="仿宋_GB2312" w:eastAsia="仿宋_GB2312" w:hAnsi="Times New Roman" w:cs="Times New Roman" w:hint="eastAsia"/>
          <w:sz w:val="32"/>
          <w:szCs w:val="32"/>
        </w:rPr>
        <w:t>尚且</w:t>
      </w:r>
      <w:r w:rsidRPr="00C90226">
        <w:rPr>
          <w:rFonts w:ascii="仿宋_GB2312" w:eastAsia="仿宋_GB2312" w:hAnsi="Times New Roman" w:cs="Times New Roman"/>
          <w:sz w:val="32"/>
          <w:szCs w:val="32"/>
        </w:rPr>
        <w:t>仅</w:t>
      </w:r>
      <w:r w:rsidR="003271DE">
        <w:rPr>
          <w:rFonts w:ascii="仿宋_GB2312" w:eastAsia="仿宋_GB2312" w:hAnsi="Times New Roman" w:cs="Times New Roman" w:hint="eastAsia"/>
          <w:sz w:val="32"/>
          <w:szCs w:val="32"/>
        </w:rPr>
        <w:t>有</w:t>
      </w:r>
      <w:r w:rsidR="00FA1331">
        <w:rPr>
          <w:rFonts w:ascii="仿宋_GB2312" w:eastAsia="仿宋_GB2312" w:hAnsi="Times New Roman" w:cs="Times New Roman" w:hint="eastAsia"/>
          <w:sz w:val="32"/>
          <w:szCs w:val="32"/>
        </w:rPr>
        <w:t>原</w:t>
      </w:r>
      <w:proofErr w:type="gramStart"/>
      <w:r w:rsidR="00FA1331">
        <w:rPr>
          <w:rFonts w:ascii="仿宋_GB2312" w:eastAsia="仿宋_GB2312" w:hAnsi="Times New Roman" w:cs="Times New Roman" w:hint="eastAsia"/>
          <w:sz w:val="32"/>
          <w:szCs w:val="32"/>
        </w:rPr>
        <w:t>研</w:t>
      </w:r>
      <w:r w:rsidR="00FA1331">
        <w:rPr>
          <w:rFonts w:ascii="仿宋_GB2312" w:eastAsia="仿宋_GB2312" w:hAnsi="Times New Roman" w:cs="Times New Roman"/>
          <w:sz w:val="32"/>
          <w:szCs w:val="32"/>
        </w:rPr>
        <w:t>品</w:t>
      </w:r>
      <w:r w:rsidR="00FA1331">
        <w:rPr>
          <w:rFonts w:ascii="仿宋_GB2312" w:eastAsia="仿宋_GB2312" w:hAnsi="Times New Roman" w:cs="Times New Roman" w:hint="eastAsia"/>
          <w:sz w:val="32"/>
          <w:szCs w:val="32"/>
        </w:rPr>
        <w:t>获</w:t>
      </w:r>
      <w:proofErr w:type="gramEnd"/>
      <w:r w:rsidR="00FA1331">
        <w:rPr>
          <w:rFonts w:ascii="仿宋_GB2312" w:eastAsia="仿宋_GB2312" w:hAnsi="Times New Roman" w:cs="Times New Roman" w:hint="eastAsia"/>
          <w:sz w:val="32"/>
          <w:szCs w:val="32"/>
        </w:rPr>
        <w:t>批</w:t>
      </w:r>
      <w:r w:rsidR="003D5EA7">
        <w:rPr>
          <w:rFonts w:ascii="仿宋_GB2312" w:eastAsia="仿宋_GB2312" w:hAnsi="Times New Roman" w:cs="Times New Roman"/>
          <w:sz w:val="32"/>
          <w:szCs w:val="32"/>
        </w:rPr>
        <w:t>上市</w:t>
      </w:r>
      <w:r w:rsidR="00FA1331">
        <w:rPr>
          <w:rFonts w:ascii="仿宋_GB2312" w:eastAsia="仿宋_GB2312" w:hAnsi="Times New Roman" w:cs="Times New Roman" w:hint="eastAsia"/>
          <w:sz w:val="32"/>
          <w:szCs w:val="32"/>
        </w:rPr>
        <w:t>。</w:t>
      </w:r>
      <w:r w:rsidR="00244484">
        <w:rPr>
          <w:rFonts w:ascii="仿宋_GB2312" w:eastAsia="仿宋_GB2312" w:hAnsi="Times New Roman" w:cs="Times New Roman" w:hint="eastAsia"/>
          <w:sz w:val="32"/>
          <w:szCs w:val="32"/>
        </w:rPr>
        <w:t>为</w:t>
      </w:r>
      <w:r w:rsidR="00244484">
        <w:rPr>
          <w:rFonts w:ascii="仿宋_GB2312" w:eastAsia="仿宋_GB2312" w:hAnsi="Times New Roman" w:cs="Times New Roman"/>
          <w:sz w:val="32"/>
          <w:szCs w:val="32"/>
        </w:rPr>
        <w:t>缓解</w:t>
      </w:r>
      <w:proofErr w:type="gramStart"/>
      <w:r w:rsidR="003271DE" w:rsidRPr="003271DE">
        <w:rPr>
          <w:rFonts w:ascii="仿宋_GB2312" w:eastAsia="仿宋_GB2312" w:hAnsi="Times New Roman" w:cs="Times New Roman" w:hint="eastAsia"/>
          <w:sz w:val="32"/>
          <w:szCs w:val="32"/>
        </w:rPr>
        <w:t>氟维司群</w:t>
      </w:r>
      <w:proofErr w:type="gramEnd"/>
      <w:r w:rsidR="003271DE" w:rsidRPr="003271DE">
        <w:rPr>
          <w:rFonts w:ascii="仿宋_GB2312" w:eastAsia="仿宋_GB2312" w:hAnsi="Times New Roman" w:cs="Times New Roman" w:hint="eastAsia"/>
          <w:sz w:val="32"/>
          <w:szCs w:val="32"/>
        </w:rPr>
        <w:t>注射液</w:t>
      </w:r>
      <w:r w:rsidR="00244484">
        <w:rPr>
          <w:rFonts w:ascii="仿宋_GB2312" w:eastAsia="仿宋_GB2312" w:hAnsi="Times New Roman" w:cs="Times New Roman"/>
          <w:sz w:val="32"/>
          <w:szCs w:val="32"/>
        </w:rPr>
        <w:t>的临床供应短缺</w:t>
      </w:r>
      <w:r w:rsidR="00244484">
        <w:rPr>
          <w:rFonts w:ascii="仿宋_GB2312" w:eastAsia="仿宋_GB2312" w:hAnsi="Times New Roman" w:cs="Times New Roman" w:hint="eastAsia"/>
          <w:sz w:val="32"/>
          <w:szCs w:val="32"/>
        </w:rPr>
        <w:t>，</w:t>
      </w:r>
      <w:r w:rsidR="001E0F56">
        <w:rPr>
          <w:rFonts w:ascii="仿宋_GB2312" w:eastAsia="仿宋_GB2312" w:hAnsi="Times New Roman" w:cs="Times New Roman" w:hint="eastAsia"/>
          <w:sz w:val="32"/>
          <w:szCs w:val="32"/>
        </w:rPr>
        <w:t>加速</w:t>
      </w:r>
      <w:r w:rsidR="007B36D7">
        <w:rPr>
          <w:rFonts w:ascii="仿宋_GB2312" w:eastAsia="仿宋_GB2312" w:hAnsi="Times New Roman" w:cs="Times New Roman"/>
          <w:sz w:val="32"/>
          <w:szCs w:val="32"/>
        </w:rPr>
        <w:t>仿制药上市</w:t>
      </w:r>
      <w:r w:rsidR="001E0F56">
        <w:rPr>
          <w:rFonts w:ascii="仿宋_GB2312" w:eastAsia="仿宋_GB2312" w:hAnsi="Times New Roman" w:cs="Times New Roman"/>
          <w:sz w:val="32"/>
          <w:szCs w:val="32"/>
        </w:rPr>
        <w:t>，</w:t>
      </w:r>
      <w:r w:rsidR="00244484">
        <w:rPr>
          <w:rFonts w:ascii="仿宋_GB2312" w:eastAsia="仿宋_GB2312" w:hAnsi="Times New Roman" w:cs="Times New Roman" w:hint="eastAsia"/>
          <w:sz w:val="32"/>
          <w:szCs w:val="32"/>
        </w:rPr>
        <w:t>起草</w:t>
      </w:r>
      <w:r w:rsidR="007B36D7">
        <w:rPr>
          <w:rFonts w:ascii="仿宋_GB2312" w:eastAsia="仿宋_GB2312" w:hAnsi="Times New Roman" w:cs="Times New Roman" w:hint="eastAsia"/>
          <w:sz w:val="32"/>
          <w:szCs w:val="32"/>
        </w:rPr>
        <w:t>了该</w:t>
      </w:r>
      <w:r w:rsidR="00244484" w:rsidRPr="00244484">
        <w:rPr>
          <w:rFonts w:ascii="仿宋_GB2312" w:eastAsia="仿宋_GB2312" w:hAnsi="Times New Roman" w:cs="Times New Roman" w:hint="eastAsia"/>
          <w:sz w:val="32"/>
          <w:szCs w:val="32"/>
        </w:rPr>
        <w:t>指导原则</w:t>
      </w:r>
      <w:r w:rsidRPr="00697009">
        <w:rPr>
          <w:rFonts w:ascii="仿宋_GB2312" w:eastAsia="仿宋_GB2312" w:hAnsi="Times New Roman" w:cs="Times New Roman" w:hint="eastAsia"/>
          <w:sz w:val="32"/>
          <w:szCs w:val="32"/>
        </w:rPr>
        <w:t>。</w:t>
      </w:r>
    </w:p>
    <w:p w14:paraId="5CA0299D" w14:textId="77777777" w:rsidR="00A551B2" w:rsidRPr="00697009" w:rsidRDefault="00A551B2" w:rsidP="00A551B2">
      <w:pPr>
        <w:widowControl/>
        <w:adjustRightInd w:val="0"/>
        <w:snapToGrid w:val="0"/>
        <w:spacing w:line="360" w:lineRule="auto"/>
        <w:ind w:firstLineChars="200" w:firstLine="640"/>
        <w:rPr>
          <w:rFonts w:ascii="黑体" w:eastAsia="黑体" w:hAnsi="黑体" w:cs="Times New Roman"/>
          <w:sz w:val="32"/>
          <w:szCs w:val="32"/>
        </w:rPr>
      </w:pPr>
      <w:r w:rsidRPr="00697009">
        <w:rPr>
          <w:rFonts w:ascii="黑体" w:eastAsia="黑体" w:hAnsi="黑体" w:cs="Times New Roman" w:hint="eastAsia"/>
          <w:sz w:val="32"/>
          <w:szCs w:val="32"/>
        </w:rPr>
        <w:t>二、起草内容与说明</w:t>
      </w:r>
    </w:p>
    <w:p w14:paraId="07696306" w14:textId="77777777" w:rsidR="00A551B2" w:rsidRPr="00697009" w:rsidRDefault="00A551B2" w:rsidP="00A551B2">
      <w:pPr>
        <w:widowControl/>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概述部分，说明</w:t>
      </w:r>
      <w:proofErr w:type="gramStart"/>
      <w:r w:rsidRPr="00C90226">
        <w:rPr>
          <w:rFonts w:ascii="仿宋_GB2312" w:eastAsia="仿宋_GB2312" w:hAnsi="Times New Roman" w:cs="Times New Roman" w:hint="eastAsia"/>
          <w:sz w:val="32"/>
          <w:szCs w:val="32"/>
        </w:rPr>
        <w:t>氟维司群</w:t>
      </w:r>
      <w:proofErr w:type="gramEnd"/>
      <w:r w:rsidRPr="00C90226">
        <w:rPr>
          <w:rFonts w:ascii="仿宋_GB2312" w:eastAsia="仿宋_GB2312" w:hAnsi="Times New Roman" w:cs="Times New Roman" w:hint="eastAsia"/>
          <w:sz w:val="32"/>
          <w:szCs w:val="32"/>
        </w:rPr>
        <w:t>注射液</w:t>
      </w:r>
      <w:r>
        <w:rPr>
          <w:rFonts w:ascii="仿宋_GB2312" w:eastAsia="仿宋_GB2312" w:hAnsi="Times New Roman" w:cs="Times New Roman" w:hint="eastAsia"/>
          <w:sz w:val="32"/>
          <w:szCs w:val="32"/>
        </w:rPr>
        <w:t>制剂特点，明确指导原则主要内容</w:t>
      </w:r>
      <w:r w:rsidRPr="00697009">
        <w:rPr>
          <w:rFonts w:ascii="仿宋_GB2312" w:eastAsia="仿宋_GB2312" w:hAnsi="Times New Roman" w:cs="Times New Roman" w:hint="eastAsia"/>
          <w:sz w:val="32"/>
          <w:szCs w:val="32"/>
        </w:rPr>
        <w:t>，同时强调了本指导原则仅代表药品监管部门目前对于本品的观点和认识。</w:t>
      </w:r>
    </w:p>
    <w:p w14:paraId="7108A1BD" w14:textId="77777777" w:rsidR="00A551B2" w:rsidRPr="00697009" w:rsidRDefault="00A551B2" w:rsidP="00A551B2">
      <w:pPr>
        <w:widowControl/>
        <w:adjustRightInd w:val="0"/>
        <w:snapToGrid w:val="0"/>
        <w:spacing w:line="360" w:lineRule="auto"/>
        <w:ind w:firstLineChars="200" w:firstLine="640"/>
        <w:rPr>
          <w:rFonts w:ascii="仿宋_GB2312" w:eastAsia="仿宋_GB2312" w:hAnsi="Times New Roman" w:cs="Times New Roman"/>
          <w:sz w:val="32"/>
          <w:szCs w:val="32"/>
        </w:rPr>
      </w:pPr>
      <w:r w:rsidRPr="00697009">
        <w:rPr>
          <w:rFonts w:ascii="仿宋_GB2312" w:eastAsia="仿宋_GB2312" w:hAnsi="Times New Roman" w:cs="Times New Roman" w:hint="eastAsia"/>
          <w:sz w:val="32"/>
          <w:szCs w:val="32"/>
        </w:rPr>
        <w:t>整体研究思路部分，首先强调参比制剂确定的重要性。其次，结合本品特点提出</w:t>
      </w:r>
      <w:r>
        <w:rPr>
          <w:rFonts w:ascii="仿宋_GB2312" w:eastAsia="仿宋_GB2312" w:hAnsi="Times New Roman" w:cs="Times New Roman" w:hint="eastAsia"/>
          <w:sz w:val="32"/>
          <w:szCs w:val="32"/>
        </w:rPr>
        <w:t>应通过</w:t>
      </w:r>
      <w:r w:rsidRPr="00697009">
        <w:rPr>
          <w:rFonts w:ascii="仿宋_GB2312" w:eastAsia="仿宋_GB2312" w:hAnsi="Times New Roman" w:cs="Times New Roman" w:hint="eastAsia"/>
          <w:sz w:val="32"/>
          <w:szCs w:val="32"/>
        </w:rPr>
        <w:t>药学与非临床研究</w:t>
      </w:r>
      <w:r>
        <w:rPr>
          <w:rFonts w:ascii="仿宋_GB2312" w:eastAsia="仿宋_GB2312" w:hAnsi="Times New Roman" w:cs="Times New Roman" w:hint="eastAsia"/>
          <w:sz w:val="32"/>
          <w:szCs w:val="32"/>
        </w:rPr>
        <w:t>证明仿制药与参比制剂一致</w:t>
      </w:r>
      <w:r w:rsidRPr="00697009">
        <w:rPr>
          <w:rFonts w:ascii="仿宋_GB2312" w:eastAsia="仿宋_GB2312" w:hAnsi="Times New Roman" w:cs="Times New Roman" w:hint="eastAsia"/>
          <w:sz w:val="32"/>
          <w:szCs w:val="32"/>
        </w:rPr>
        <w:t>，</w:t>
      </w:r>
      <w:r w:rsidR="008A44A2">
        <w:rPr>
          <w:rFonts w:ascii="仿宋_GB2312" w:eastAsia="仿宋_GB2312" w:hAnsi="Times New Roman" w:cs="Times New Roman" w:hint="eastAsia"/>
          <w:sz w:val="32"/>
          <w:szCs w:val="32"/>
        </w:rPr>
        <w:t>从</w:t>
      </w:r>
      <w:r w:rsidRPr="00697009">
        <w:rPr>
          <w:rFonts w:ascii="仿宋_GB2312" w:eastAsia="仿宋_GB2312" w:hAnsi="Times New Roman" w:cs="Times New Roman" w:hint="eastAsia"/>
          <w:sz w:val="32"/>
          <w:szCs w:val="32"/>
        </w:rPr>
        <w:t>而</w:t>
      </w:r>
      <w:r w:rsidR="008A44A2">
        <w:rPr>
          <w:rFonts w:ascii="仿宋_GB2312" w:eastAsia="仿宋_GB2312" w:hAnsi="Times New Roman" w:cs="Times New Roman" w:hint="eastAsia"/>
          <w:sz w:val="32"/>
          <w:szCs w:val="32"/>
        </w:rPr>
        <w:t>豁免人体内</w:t>
      </w:r>
      <w:r w:rsidRPr="00697009">
        <w:rPr>
          <w:rFonts w:ascii="仿宋_GB2312" w:eastAsia="仿宋_GB2312" w:hAnsi="Times New Roman" w:cs="Times New Roman" w:hint="eastAsia"/>
          <w:sz w:val="32"/>
          <w:szCs w:val="32"/>
        </w:rPr>
        <w:t>生物等效性</w:t>
      </w:r>
      <w:r w:rsidR="008A44A2">
        <w:rPr>
          <w:rFonts w:ascii="仿宋_GB2312" w:eastAsia="仿宋_GB2312" w:hAnsi="Times New Roman" w:cs="Times New Roman" w:hint="eastAsia"/>
          <w:sz w:val="32"/>
          <w:szCs w:val="32"/>
        </w:rPr>
        <w:t>试验</w:t>
      </w:r>
      <w:r w:rsidRPr="00697009">
        <w:rPr>
          <w:rFonts w:ascii="仿宋_GB2312" w:eastAsia="仿宋_GB2312" w:hAnsi="Times New Roman" w:cs="Times New Roman" w:hint="eastAsia"/>
          <w:sz w:val="32"/>
          <w:szCs w:val="32"/>
        </w:rPr>
        <w:t>。最后再次申明仿制药研究需符合相关法规及技术要求。</w:t>
      </w:r>
    </w:p>
    <w:p w14:paraId="7331B137" w14:textId="77777777" w:rsidR="002F45BF" w:rsidRDefault="002F45BF" w:rsidP="00BC79A4">
      <w:pPr>
        <w:widowControl/>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w:t>
      </w:r>
      <w:r>
        <w:rPr>
          <w:rFonts w:ascii="仿宋_GB2312" w:eastAsia="仿宋_GB2312" w:hAnsi="Times New Roman" w:cs="Times New Roman"/>
          <w:sz w:val="32"/>
          <w:szCs w:val="32"/>
        </w:rPr>
        <w:t>指导原则不适用于</w:t>
      </w:r>
      <w:r>
        <w:rPr>
          <w:rFonts w:ascii="仿宋_GB2312" w:eastAsia="仿宋_GB2312" w:hAnsi="Times New Roman" w:cs="Times New Roman" w:hint="eastAsia"/>
          <w:sz w:val="32"/>
          <w:szCs w:val="32"/>
        </w:rPr>
        <w:t>与参比制剂</w:t>
      </w:r>
      <w:r>
        <w:rPr>
          <w:rFonts w:ascii="仿宋_GB2312" w:eastAsia="仿宋_GB2312" w:hAnsi="Times New Roman" w:cs="Times New Roman"/>
          <w:sz w:val="32"/>
          <w:szCs w:val="32"/>
        </w:rPr>
        <w:t>处方</w:t>
      </w:r>
      <w:r w:rsidR="00CD541F">
        <w:rPr>
          <w:rFonts w:ascii="仿宋_GB2312" w:eastAsia="仿宋_GB2312" w:hAnsi="Times New Roman" w:cs="Times New Roman" w:hint="eastAsia"/>
          <w:sz w:val="32"/>
          <w:szCs w:val="32"/>
        </w:rPr>
        <w:t>（</w:t>
      </w:r>
      <w:r w:rsidR="00CD541F" w:rsidRPr="00573E99">
        <w:rPr>
          <w:rFonts w:ascii="仿宋_GB2312" w:eastAsia="仿宋_GB2312" w:hAnsi="宋体" w:cs="Times New Roman" w:hint="eastAsia"/>
          <w:sz w:val="32"/>
          <w:szCs w:val="32"/>
        </w:rPr>
        <w:t>辅料种类和用量</w:t>
      </w:r>
      <w:r w:rsidR="00CD541F">
        <w:rPr>
          <w:rFonts w:ascii="仿宋_GB2312" w:eastAsia="仿宋_GB2312" w:hAnsi="Times New Roman" w:cs="Times New Roman"/>
          <w:sz w:val="32"/>
          <w:szCs w:val="32"/>
        </w:rPr>
        <w:t>）</w:t>
      </w:r>
      <w:r>
        <w:rPr>
          <w:rFonts w:ascii="仿宋_GB2312" w:eastAsia="仿宋_GB2312" w:hAnsi="Times New Roman" w:cs="Times New Roman"/>
          <w:sz w:val="32"/>
          <w:szCs w:val="32"/>
        </w:rPr>
        <w:t>不一致的</w:t>
      </w:r>
      <w:proofErr w:type="gramStart"/>
      <w:r w:rsidRPr="00244484">
        <w:rPr>
          <w:rFonts w:ascii="仿宋_GB2312" w:eastAsia="仿宋_GB2312" w:hAnsi="Times New Roman" w:cs="Times New Roman" w:hint="eastAsia"/>
          <w:sz w:val="32"/>
          <w:szCs w:val="32"/>
        </w:rPr>
        <w:t>氟维司群</w:t>
      </w:r>
      <w:proofErr w:type="gramEnd"/>
      <w:r w:rsidRPr="00244484">
        <w:rPr>
          <w:rFonts w:ascii="仿宋_GB2312" w:eastAsia="仿宋_GB2312" w:hAnsi="Times New Roman" w:cs="Times New Roman" w:hint="eastAsia"/>
          <w:sz w:val="32"/>
          <w:szCs w:val="32"/>
        </w:rPr>
        <w:t>注射液</w:t>
      </w:r>
      <w:r w:rsidR="00CD541F">
        <w:rPr>
          <w:rFonts w:ascii="仿宋_GB2312" w:eastAsia="仿宋_GB2312" w:hAnsi="Times New Roman" w:cs="Times New Roman" w:hint="eastAsia"/>
          <w:sz w:val="32"/>
          <w:szCs w:val="32"/>
        </w:rPr>
        <w:t>的</w:t>
      </w:r>
      <w:r>
        <w:rPr>
          <w:rFonts w:ascii="仿宋_GB2312" w:eastAsia="仿宋_GB2312" w:hAnsi="Times New Roman" w:cs="Times New Roman"/>
          <w:sz w:val="32"/>
          <w:szCs w:val="32"/>
        </w:rPr>
        <w:t>研究与开发</w:t>
      </w:r>
      <w:r>
        <w:rPr>
          <w:rFonts w:ascii="仿宋_GB2312" w:eastAsia="仿宋_GB2312" w:hAnsi="Times New Roman" w:cs="Times New Roman" w:hint="eastAsia"/>
          <w:sz w:val="32"/>
          <w:szCs w:val="32"/>
        </w:rPr>
        <w:t>。</w:t>
      </w:r>
    </w:p>
    <w:p w14:paraId="54687800" w14:textId="77777777" w:rsidR="00BC79A4" w:rsidRDefault="008A44A2" w:rsidP="00BC79A4">
      <w:pPr>
        <w:widowControl/>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技术</w:t>
      </w:r>
      <w:r w:rsidR="00A551B2" w:rsidRPr="00697009">
        <w:rPr>
          <w:rFonts w:ascii="仿宋_GB2312" w:eastAsia="仿宋_GB2312" w:hAnsi="Times New Roman" w:cs="Times New Roman" w:hint="eastAsia"/>
          <w:sz w:val="32"/>
          <w:szCs w:val="32"/>
        </w:rPr>
        <w:t>要求部分包括药学研究</w:t>
      </w:r>
      <w:r>
        <w:rPr>
          <w:rFonts w:ascii="仿宋_GB2312" w:eastAsia="仿宋_GB2312" w:hAnsi="Times New Roman" w:cs="Times New Roman" w:hint="eastAsia"/>
          <w:sz w:val="32"/>
          <w:szCs w:val="32"/>
        </w:rPr>
        <w:t>和</w:t>
      </w:r>
      <w:r w:rsidR="00A551B2" w:rsidRPr="00697009">
        <w:rPr>
          <w:rFonts w:ascii="仿宋_GB2312" w:eastAsia="仿宋_GB2312" w:hAnsi="Times New Roman" w:cs="Times New Roman" w:hint="eastAsia"/>
          <w:sz w:val="32"/>
          <w:szCs w:val="32"/>
        </w:rPr>
        <w:t>非临床研究。</w:t>
      </w:r>
    </w:p>
    <w:p w14:paraId="46D07CEE" w14:textId="77777777" w:rsidR="00324983" w:rsidRDefault="00372354" w:rsidP="00991225">
      <w:pPr>
        <w:widowControl/>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005773D5">
        <w:rPr>
          <w:rFonts w:ascii="仿宋_GB2312" w:eastAsia="仿宋_GB2312" w:hAnsi="Times New Roman" w:cs="Times New Roman" w:hint="eastAsia"/>
          <w:sz w:val="32"/>
          <w:szCs w:val="32"/>
        </w:rPr>
        <w:t>药学研究</w:t>
      </w:r>
      <w:r w:rsidR="00324983">
        <w:rPr>
          <w:rFonts w:ascii="仿宋_GB2312" w:eastAsia="仿宋_GB2312" w:hAnsi="Times New Roman" w:cs="Times New Roman" w:hint="eastAsia"/>
          <w:sz w:val="32"/>
          <w:szCs w:val="32"/>
        </w:rPr>
        <w:t>：</w:t>
      </w:r>
    </w:p>
    <w:p w14:paraId="475583A3" w14:textId="77777777" w:rsidR="008A44A2" w:rsidRPr="00697009" w:rsidRDefault="008A44A2" w:rsidP="008A44A2">
      <w:pPr>
        <w:widowControl/>
        <w:adjustRightInd w:val="0"/>
        <w:snapToGrid w:val="0"/>
        <w:spacing w:line="360" w:lineRule="auto"/>
        <w:ind w:firstLineChars="200" w:firstLine="640"/>
        <w:rPr>
          <w:rFonts w:ascii="仿宋_GB2312" w:eastAsia="仿宋_GB2312" w:hAnsi="宋体" w:cs="Times New Roman"/>
          <w:sz w:val="32"/>
          <w:szCs w:val="32"/>
        </w:rPr>
      </w:pPr>
      <w:r>
        <w:rPr>
          <w:rFonts w:ascii="仿宋_GB2312" w:eastAsia="仿宋_GB2312" w:hAnsi="Times New Roman" w:cs="Times New Roman" w:hint="eastAsia"/>
          <w:sz w:val="32"/>
          <w:szCs w:val="32"/>
        </w:rPr>
        <w:t>处方部分同各国注射剂仿制药的基本要求一致，明确所用</w:t>
      </w:r>
      <w:r w:rsidRPr="00697009">
        <w:rPr>
          <w:rFonts w:ascii="仿宋_GB2312" w:eastAsia="仿宋_GB2312" w:hAnsi="Times New Roman" w:cs="Times New Roman" w:hint="eastAsia"/>
          <w:sz w:val="32"/>
          <w:szCs w:val="32"/>
        </w:rPr>
        <w:t>辅料应按关联</w:t>
      </w:r>
      <w:proofErr w:type="gramStart"/>
      <w:r w:rsidRPr="00697009">
        <w:rPr>
          <w:rFonts w:ascii="仿宋_GB2312" w:eastAsia="仿宋_GB2312" w:hAnsi="Times New Roman" w:cs="Times New Roman" w:hint="eastAsia"/>
          <w:sz w:val="32"/>
          <w:szCs w:val="32"/>
        </w:rPr>
        <w:t>审评审批</w:t>
      </w:r>
      <w:proofErr w:type="gramEnd"/>
      <w:r w:rsidRPr="00697009">
        <w:rPr>
          <w:rFonts w:ascii="仿宋_GB2312" w:eastAsia="仿宋_GB2312" w:hAnsi="Times New Roman" w:cs="Times New Roman" w:hint="eastAsia"/>
          <w:sz w:val="32"/>
          <w:szCs w:val="32"/>
        </w:rPr>
        <w:t>相关要求提供研究资料，并</w:t>
      </w:r>
      <w:r>
        <w:rPr>
          <w:rFonts w:ascii="仿宋_GB2312" w:eastAsia="仿宋_GB2312" w:hAnsi="Times New Roman" w:cs="Times New Roman" w:hint="eastAsia"/>
          <w:sz w:val="32"/>
          <w:szCs w:val="32"/>
        </w:rPr>
        <w:t>结合对</w:t>
      </w:r>
      <w:proofErr w:type="gramStart"/>
      <w:r>
        <w:rPr>
          <w:rFonts w:ascii="仿宋_GB2312" w:eastAsia="仿宋_GB2312" w:hAnsi="Times New Roman" w:cs="Times New Roman" w:hint="eastAsia"/>
          <w:sz w:val="32"/>
          <w:szCs w:val="32"/>
        </w:rPr>
        <w:lastRenderedPageBreak/>
        <w:t>终产品</w:t>
      </w:r>
      <w:proofErr w:type="gramEnd"/>
      <w:r>
        <w:rPr>
          <w:rFonts w:ascii="仿宋_GB2312" w:eastAsia="仿宋_GB2312" w:hAnsi="Times New Roman" w:cs="Times New Roman" w:hint="eastAsia"/>
          <w:sz w:val="32"/>
          <w:szCs w:val="32"/>
        </w:rPr>
        <w:t>质量的影响情况等</w:t>
      </w:r>
      <w:r w:rsidRPr="00697009">
        <w:rPr>
          <w:rFonts w:ascii="仿宋_GB2312" w:eastAsia="仿宋_GB2312" w:hAnsi="Times New Roman" w:cs="Times New Roman" w:hint="eastAsia"/>
          <w:sz w:val="32"/>
          <w:szCs w:val="32"/>
        </w:rPr>
        <w:t>制定合理的内控标准，强调与</w:t>
      </w:r>
      <w:r w:rsidRPr="00697009">
        <w:rPr>
          <w:rFonts w:ascii="仿宋_GB2312" w:eastAsia="仿宋_GB2312" w:hAnsi="宋体" w:cs="Times New Roman" w:hint="eastAsia"/>
          <w:sz w:val="32"/>
          <w:szCs w:val="32"/>
        </w:rPr>
        <w:t>参比制剂</w:t>
      </w:r>
      <w:r>
        <w:rPr>
          <w:rFonts w:ascii="仿宋_GB2312" w:eastAsia="仿宋_GB2312" w:hAnsi="宋体" w:cs="Times New Roman" w:hint="eastAsia"/>
          <w:sz w:val="32"/>
          <w:szCs w:val="32"/>
        </w:rPr>
        <w:t>关键</w:t>
      </w:r>
      <w:r w:rsidRPr="00697009">
        <w:rPr>
          <w:rFonts w:ascii="仿宋_GB2312" w:eastAsia="仿宋_GB2312" w:hAnsi="宋体" w:cs="Times New Roman" w:hint="eastAsia"/>
          <w:sz w:val="32"/>
          <w:szCs w:val="32"/>
        </w:rPr>
        <w:t>辅料</w:t>
      </w:r>
      <w:r>
        <w:rPr>
          <w:rFonts w:ascii="仿宋_GB2312" w:eastAsia="仿宋_GB2312" w:hAnsi="宋体" w:cs="Times New Roman" w:hint="eastAsia"/>
          <w:sz w:val="32"/>
          <w:szCs w:val="32"/>
        </w:rPr>
        <w:t>（如蓖麻油）</w:t>
      </w:r>
      <w:r w:rsidRPr="00697009">
        <w:rPr>
          <w:rFonts w:ascii="仿宋_GB2312" w:eastAsia="仿宋_GB2312" w:hAnsi="宋体" w:cs="Times New Roman" w:hint="eastAsia"/>
          <w:sz w:val="32"/>
          <w:szCs w:val="32"/>
        </w:rPr>
        <w:t>进行对比研究。</w:t>
      </w:r>
    </w:p>
    <w:p w14:paraId="36A7E180" w14:textId="77777777" w:rsidR="00324983" w:rsidRDefault="008A44A2" w:rsidP="00991225">
      <w:pPr>
        <w:widowControl/>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本品为油溶液，建议</w:t>
      </w:r>
      <w:r w:rsidR="0064299C">
        <w:rPr>
          <w:rFonts w:ascii="仿宋_GB2312" w:eastAsia="仿宋_GB2312" w:hAnsi="Times New Roman" w:cs="Times New Roman"/>
          <w:sz w:val="32"/>
          <w:szCs w:val="32"/>
        </w:rPr>
        <w:t>仿制药申请人关注</w:t>
      </w:r>
      <w:r w:rsidR="002D472B">
        <w:rPr>
          <w:rFonts w:ascii="仿宋_GB2312" w:eastAsia="仿宋_GB2312" w:hAnsi="Times New Roman" w:cs="Times New Roman" w:hint="eastAsia"/>
          <w:sz w:val="32"/>
          <w:szCs w:val="32"/>
        </w:rPr>
        <w:t>生产过程</w:t>
      </w:r>
      <w:r>
        <w:rPr>
          <w:rFonts w:ascii="仿宋_GB2312" w:eastAsia="仿宋_GB2312" w:hAnsi="Times New Roman" w:cs="Times New Roman" w:hint="eastAsia"/>
          <w:sz w:val="32"/>
          <w:szCs w:val="32"/>
        </w:rPr>
        <w:t>中</w:t>
      </w:r>
      <w:r w:rsidR="0064299C">
        <w:rPr>
          <w:rFonts w:ascii="仿宋_GB2312" w:eastAsia="仿宋_GB2312" w:hAnsi="Times New Roman" w:cs="Times New Roman"/>
          <w:sz w:val="32"/>
          <w:szCs w:val="32"/>
        </w:rPr>
        <w:t>水</w:t>
      </w:r>
      <w:r w:rsidR="002D472B">
        <w:rPr>
          <w:rFonts w:ascii="仿宋_GB2312" w:eastAsia="仿宋_GB2312" w:hAnsi="Times New Roman" w:cs="Times New Roman" w:hint="eastAsia"/>
          <w:sz w:val="32"/>
          <w:szCs w:val="32"/>
        </w:rPr>
        <w:t>分</w:t>
      </w:r>
      <w:r w:rsidR="00386FCE">
        <w:rPr>
          <w:rFonts w:ascii="仿宋_GB2312" w:eastAsia="仿宋_GB2312" w:hAnsi="Times New Roman" w:cs="Times New Roman" w:hint="eastAsia"/>
          <w:sz w:val="32"/>
          <w:szCs w:val="32"/>
        </w:rPr>
        <w:t>、</w:t>
      </w:r>
      <w:r w:rsidR="002D472B">
        <w:rPr>
          <w:rFonts w:ascii="仿宋_GB2312" w:eastAsia="仿宋_GB2312" w:hAnsi="Times New Roman" w:cs="Times New Roman"/>
          <w:sz w:val="32"/>
          <w:szCs w:val="32"/>
        </w:rPr>
        <w:t>氧</w:t>
      </w:r>
      <w:r w:rsidR="00386FCE">
        <w:rPr>
          <w:rFonts w:ascii="仿宋_GB2312" w:eastAsia="仿宋_GB2312" w:hAnsi="Times New Roman" w:cs="Times New Roman" w:hint="eastAsia"/>
          <w:sz w:val="32"/>
          <w:szCs w:val="32"/>
        </w:rPr>
        <w:t>气和</w:t>
      </w:r>
      <w:r w:rsidR="002D472B">
        <w:rPr>
          <w:rFonts w:ascii="仿宋_GB2312" w:eastAsia="仿宋_GB2312" w:hAnsi="Times New Roman" w:cs="Times New Roman"/>
          <w:sz w:val="32"/>
          <w:szCs w:val="32"/>
        </w:rPr>
        <w:t>光照</w:t>
      </w:r>
      <w:r w:rsidR="00386FCE">
        <w:rPr>
          <w:rFonts w:ascii="仿宋_GB2312" w:eastAsia="仿宋_GB2312" w:hAnsi="Times New Roman" w:cs="Times New Roman" w:hint="eastAsia"/>
          <w:sz w:val="32"/>
          <w:szCs w:val="32"/>
        </w:rPr>
        <w:t>控制</w:t>
      </w:r>
      <w:r w:rsidR="002D472B">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批量应</w:t>
      </w:r>
      <w:proofErr w:type="gramEnd"/>
      <w:r>
        <w:rPr>
          <w:rFonts w:ascii="仿宋_GB2312" w:eastAsia="仿宋_GB2312" w:hAnsi="Times New Roman" w:cs="Times New Roman" w:hint="eastAsia"/>
          <w:sz w:val="32"/>
          <w:szCs w:val="32"/>
        </w:rPr>
        <w:t>符合</w:t>
      </w:r>
      <w:r>
        <w:rPr>
          <w:rFonts w:ascii="仿宋_GB2312" w:eastAsia="仿宋_GB2312" w:hAnsi="宋体" w:cs="Times New Roman" w:hint="eastAsia"/>
          <w:sz w:val="32"/>
          <w:szCs w:val="32"/>
        </w:rPr>
        <w:t>《化学仿制药注册批生产规模的一般性要求（试行）》。</w:t>
      </w:r>
    </w:p>
    <w:p w14:paraId="6182CACF" w14:textId="77777777" w:rsidR="00D9249C" w:rsidRPr="00676706" w:rsidRDefault="008A44A2" w:rsidP="00116FEF">
      <w:pPr>
        <w:widowControl/>
        <w:adjustRightInd w:val="0"/>
        <w:snapToGrid w:val="0"/>
        <w:spacing w:line="360" w:lineRule="auto"/>
        <w:ind w:firstLineChars="200" w:firstLine="640"/>
        <w:rPr>
          <w:rFonts w:ascii="仿宋_GB2312" w:eastAsia="仿宋_GB2312" w:hAnsi="Times New Roman" w:cs="Times New Roman"/>
          <w:sz w:val="32"/>
          <w:szCs w:val="32"/>
        </w:rPr>
      </w:pPr>
      <w:r w:rsidRPr="00697009">
        <w:rPr>
          <w:rFonts w:ascii="仿宋_GB2312" w:eastAsia="仿宋_GB2312" w:hAnsi="宋体" w:cs="Times New Roman" w:hint="eastAsia"/>
          <w:sz w:val="32"/>
          <w:szCs w:val="32"/>
        </w:rPr>
        <w:t>仿制药的质量研究应符合注射剂的一般要求，</w:t>
      </w:r>
      <w:r w:rsidR="00386FCE">
        <w:rPr>
          <w:rFonts w:ascii="仿宋_GB2312" w:eastAsia="仿宋_GB2312" w:hAnsi="Times New Roman" w:cs="Times New Roman"/>
          <w:sz w:val="32"/>
          <w:szCs w:val="32"/>
        </w:rPr>
        <w:t>结合制剂</w:t>
      </w:r>
      <w:r w:rsidR="00386FCE">
        <w:rPr>
          <w:rFonts w:ascii="仿宋_GB2312" w:eastAsia="仿宋_GB2312" w:hAnsi="Times New Roman" w:cs="Times New Roman" w:hint="eastAsia"/>
          <w:sz w:val="32"/>
          <w:szCs w:val="32"/>
        </w:rPr>
        <w:t>特点</w:t>
      </w:r>
      <w:r w:rsidR="002F45BF">
        <w:rPr>
          <w:rFonts w:ascii="仿宋_GB2312" w:eastAsia="仿宋_GB2312" w:hAnsi="Times New Roman" w:cs="Times New Roman" w:hint="eastAsia"/>
          <w:sz w:val="32"/>
          <w:szCs w:val="32"/>
        </w:rPr>
        <w:t>并</w:t>
      </w:r>
      <w:r w:rsidR="002F45BF">
        <w:rPr>
          <w:rFonts w:ascii="仿宋_GB2312" w:eastAsia="仿宋_GB2312" w:hAnsi="Times New Roman" w:cs="Times New Roman"/>
          <w:sz w:val="32"/>
          <w:szCs w:val="32"/>
        </w:rPr>
        <w:t>参考文献（如</w:t>
      </w:r>
      <w:r w:rsidR="002F45BF">
        <w:rPr>
          <w:rFonts w:ascii="仿宋_GB2312" w:eastAsia="仿宋_GB2312" w:hAnsi="Times New Roman" w:cs="Times New Roman" w:hint="eastAsia"/>
          <w:sz w:val="32"/>
          <w:szCs w:val="32"/>
        </w:rPr>
        <w:t>EMA</w:t>
      </w:r>
      <w:r w:rsidR="002F45BF">
        <w:rPr>
          <w:rFonts w:ascii="仿宋_GB2312" w:eastAsia="仿宋_GB2312" w:hAnsi="Times New Roman" w:cs="Times New Roman"/>
          <w:sz w:val="32"/>
          <w:szCs w:val="32"/>
        </w:rPr>
        <w:t>审评报告）</w:t>
      </w:r>
      <w:r w:rsidR="00386FCE">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建议</w:t>
      </w:r>
      <w:r w:rsidR="00386FCE">
        <w:rPr>
          <w:rFonts w:ascii="仿宋_GB2312" w:eastAsia="仿宋_GB2312" w:hAnsi="Times New Roman" w:cs="Times New Roman"/>
          <w:sz w:val="32"/>
          <w:szCs w:val="32"/>
        </w:rPr>
        <w:t>关注</w:t>
      </w:r>
      <w:r w:rsidR="00386FCE">
        <w:rPr>
          <w:rFonts w:ascii="仿宋_GB2312" w:eastAsia="仿宋_GB2312" w:hAnsi="Times New Roman" w:cs="Times New Roman" w:hint="eastAsia"/>
          <w:sz w:val="32"/>
          <w:szCs w:val="32"/>
        </w:rPr>
        <w:t>仿制药</w:t>
      </w:r>
      <w:r w:rsidR="00386FCE">
        <w:rPr>
          <w:rFonts w:ascii="仿宋_GB2312" w:eastAsia="仿宋_GB2312" w:hAnsi="Times New Roman" w:cs="Times New Roman"/>
          <w:sz w:val="32"/>
          <w:szCs w:val="32"/>
        </w:rPr>
        <w:t>与参比制剂</w:t>
      </w:r>
      <w:r w:rsidR="00386FCE">
        <w:rPr>
          <w:rFonts w:ascii="仿宋_GB2312" w:eastAsia="仿宋_GB2312" w:hAnsi="Times New Roman" w:cs="Times New Roman" w:hint="eastAsia"/>
          <w:sz w:val="32"/>
          <w:szCs w:val="32"/>
        </w:rPr>
        <w:t>在</w:t>
      </w:r>
      <w:r w:rsidR="00386FCE">
        <w:rPr>
          <w:rFonts w:ascii="仿宋_GB2312" w:eastAsia="仿宋_GB2312" w:hAnsi="Times New Roman" w:cs="Times New Roman"/>
          <w:sz w:val="32"/>
          <w:szCs w:val="32"/>
        </w:rPr>
        <w:t>脂肪酸组成、黏度</w:t>
      </w:r>
      <w:r>
        <w:rPr>
          <w:rFonts w:ascii="仿宋_GB2312" w:eastAsia="仿宋_GB2312" w:hAnsi="Times New Roman" w:cs="Times New Roman" w:hint="eastAsia"/>
          <w:sz w:val="32"/>
          <w:szCs w:val="32"/>
        </w:rPr>
        <w:t>、</w:t>
      </w:r>
      <w:r w:rsidR="00386FCE">
        <w:rPr>
          <w:rFonts w:ascii="仿宋_GB2312" w:eastAsia="仿宋_GB2312" w:hAnsi="Times New Roman" w:cs="Times New Roman"/>
          <w:sz w:val="32"/>
          <w:szCs w:val="32"/>
        </w:rPr>
        <w:t>释放</w:t>
      </w:r>
      <w:r>
        <w:rPr>
          <w:rFonts w:ascii="仿宋_GB2312" w:eastAsia="仿宋_GB2312" w:hAnsi="Times New Roman" w:cs="Times New Roman" w:hint="eastAsia"/>
          <w:sz w:val="32"/>
          <w:szCs w:val="32"/>
        </w:rPr>
        <w:t>行</w:t>
      </w:r>
      <w:r>
        <w:rPr>
          <w:rFonts w:ascii="仿宋_GB2312" w:eastAsia="仿宋_GB2312" w:hAnsi="Times New Roman" w:cs="Times New Roman"/>
          <w:sz w:val="32"/>
          <w:szCs w:val="32"/>
        </w:rPr>
        <w:t>为</w:t>
      </w:r>
      <w:r w:rsidR="00386FCE">
        <w:rPr>
          <w:rFonts w:ascii="仿宋_GB2312" w:eastAsia="仿宋_GB2312" w:hAnsi="Times New Roman" w:cs="Times New Roman" w:hint="eastAsia"/>
          <w:sz w:val="32"/>
          <w:szCs w:val="32"/>
        </w:rPr>
        <w:t>等</w:t>
      </w:r>
      <w:r w:rsidR="00386FCE">
        <w:rPr>
          <w:rFonts w:ascii="仿宋_GB2312" w:eastAsia="仿宋_GB2312" w:hAnsi="Times New Roman" w:cs="Times New Roman"/>
          <w:sz w:val="32"/>
          <w:szCs w:val="32"/>
        </w:rPr>
        <w:t>方面的一致</w:t>
      </w:r>
      <w:r w:rsidR="00386FCE">
        <w:rPr>
          <w:rFonts w:ascii="仿宋_GB2312" w:eastAsia="仿宋_GB2312" w:hAnsi="Times New Roman" w:cs="Times New Roman" w:hint="eastAsia"/>
          <w:sz w:val="32"/>
          <w:szCs w:val="32"/>
        </w:rPr>
        <w:t>性</w:t>
      </w:r>
      <w:r w:rsidR="00386FCE">
        <w:rPr>
          <w:rFonts w:ascii="仿宋_GB2312" w:eastAsia="仿宋_GB2312" w:hAnsi="Times New Roman" w:cs="Times New Roman"/>
          <w:sz w:val="32"/>
          <w:szCs w:val="32"/>
        </w:rPr>
        <w:t>。</w:t>
      </w:r>
    </w:p>
    <w:p w14:paraId="71AB42D5" w14:textId="77777777" w:rsidR="002222DE" w:rsidRDefault="00386FCE" w:rsidP="00991225">
      <w:pPr>
        <w:widowControl/>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稳定性</w:t>
      </w:r>
      <w:r>
        <w:rPr>
          <w:rFonts w:ascii="仿宋_GB2312" w:eastAsia="仿宋_GB2312" w:hAnsi="Times New Roman" w:cs="Times New Roman"/>
          <w:sz w:val="32"/>
          <w:szCs w:val="32"/>
        </w:rPr>
        <w:t>研究</w:t>
      </w:r>
      <w:r w:rsidR="002F45BF">
        <w:rPr>
          <w:rFonts w:ascii="仿宋_GB2312" w:eastAsia="仿宋_GB2312" w:hAnsi="Times New Roman" w:cs="Times New Roman"/>
          <w:sz w:val="32"/>
          <w:szCs w:val="32"/>
        </w:rPr>
        <w:t>建议关注反</w:t>
      </w:r>
      <w:r w:rsidR="005D0BEE">
        <w:rPr>
          <w:rFonts w:ascii="仿宋_GB2312" w:eastAsia="仿宋_GB2312" w:hAnsi="Times New Roman" w:cs="Times New Roman" w:hint="eastAsia"/>
          <w:sz w:val="32"/>
          <w:szCs w:val="32"/>
        </w:rPr>
        <w:t>映</w:t>
      </w:r>
      <w:r w:rsidR="00863372">
        <w:rPr>
          <w:rFonts w:ascii="仿宋_GB2312" w:eastAsia="仿宋_GB2312" w:hAnsi="Times New Roman" w:cs="Times New Roman" w:hint="eastAsia"/>
          <w:sz w:val="32"/>
          <w:szCs w:val="32"/>
        </w:rPr>
        <w:t>油</w:t>
      </w:r>
      <w:r w:rsidR="00863372">
        <w:rPr>
          <w:rFonts w:ascii="仿宋_GB2312" w:eastAsia="仿宋_GB2312" w:hAnsi="Times New Roman" w:cs="Times New Roman"/>
          <w:sz w:val="32"/>
          <w:szCs w:val="32"/>
        </w:rPr>
        <w:t>溶液</w:t>
      </w:r>
      <w:r w:rsidR="00863372">
        <w:rPr>
          <w:rFonts w:ascii="仿宋_GB2312" w:eastAsia="仿宋_GB2312" w:hAnsi="Times New Roman" w:cs="Times New Roman" w:hint="eastAsia"/>
          <w:sz w:val="32"/>
          <w:szCs w:val="32"/>
        </w:rPr>
        <w:t>质量变化</w:t>
      </w:r>
      <w:r w:rsidR="00863372">
        <w:rPr>
          <w:rFonts w:ascii="仿宋_GB2312" w:eastAsia="仿宋_GB2312" w:hAnsi="Times New Roman" w:cs="Times New Roman"/>
          <w:sz w:val="32"/>
          <w:szCs w:val="32"/>
        </w:rPr>
        <w:t>和产品性能变化的</w:t>
      </w:r>
      <w:r w:rsidR="002F45BF">
        <w:rPr>
          <w:rFonts w:ascii="仿宋_GB2312" w:eastAsia="仿宋_GB2312" w:hAnsi="Times New Roman" w:cs="Times New Roman"/>
          <w:sz w:val="32"/>
          <w:szCs w:val="32"/>
        </w:rPr>
        <w:t>相关</w:t>
      </w:r>
      <w:r w:rsidR="00863372">
        <w:rPr>
          <w:rFonts w:ascii="仿宋_GB2312" w:eastAsia="仿宋_GB2312" w:hAnsi="Times New Roman" w:cs="Times New Roman" w:hint="eastAsia"/>
          <w:sz w:val="32"/>
          <w:szCs w:val="32"/>
        </w:rPr>
        <w:t>指标</w:t>
      </w:r>
      <w:r w:rsidR="002F45BF">
        <w:rPr>
          <w:rFonts w:ascii="仿宋_GB2312" w:eastAsia="仿宋_GB2312" w:hAnsi="Times New Roman" w:cs="Times New Roman" w:hint="eastAsia"/>
          <w:sz w:val="32"/>
          <w:szCs w:val="32"/>
        </w:rPr>
        <w:t>，并按相关指导原则</w:t>
      </w:r>
      <w:proofErr w:type="gramStart"/>
      <w:r w:rsidR="002F45BF">
        <w:rPr>
          <w:rFonts w:ascii="仿宋_GB2312" w:eastAsia="仿宋_GB2312" w:hAnsi="Times New Roman" w:cs="Times New Roman" w:hint="eastAsia"/>
          <w:sz w:val="32"/>
          <w:szCs w:val="32"/>
        </w:rPr>
        <w:t>开展</w:t>
      </w:r>
      <w:r w:rsidR="002F45BF" w:rsidRPr="002F45BF">
        <w:rPr>
          <w:rFonts w:ascii="仿宋_GB2312" w:eastAsia="仿宋_GB2312" w:hAnsi="Times New Roman" w:cs="Times New Roman" w:hint="eastAsia"/>
          <w:sz w:val="32"/>
          <w:szCs w:val="32"/>
        </w:rPr>
        <w:t>包材相容性</w:t>
      </w:r>
      <w:proofErr w:type="gramEnd"/>
      <w:r w:rsidR="002F45BF" w:rsidRPr="002F45BF">
        <w:rPr>
          <w:rFonts w:ascii="仿宋_GB2312" w:eastAsia="仿宋_GB2312" w:hAnsi="Times New Roman" w:cs="Times New Roman" w:hint="eastAsia"/>
          <w:sz w:val="32"/>
          <w:szCs w:val="32"/>
        </w:rPr>
        <w:t>和容器密封性</w:t>
      </w:r>
      <w:r w:rsidR="002F45BF">
        <w:rPr>
          <w:rFonts w:ascii="仿宋_GB2312" w:eastAsia="仿宋_GB2312" w:hAnsi="Times New Roman" w:cs="Times New Roman" w:hint="eastAsia"/>
          <w:sz w:val="32"/>
          <w:szCs w:val="32"/>
        </w:rPr>
        <w:t>研究</w:t>
      </w:r>
      <w:r w:rsidR="00863372">
        <w:rPr>
          <w:rFonts w:ascii="仿宋_GB2312" w:eastAsia="仿宋_GB2312" w:hAnsi="Times New Roman" w:cs="Times New Roman" w:hint="eastAsia"/>
          <w:sz w:val="32"/>
          <w:szCs w:val="32"/>
        </w:rPr>
        <w:t>。</w:t>
      </w:r>
    </w:p>
    <w:p w14:paraId="522FEB33" w14:textId="77777777" w:rsidR="008A44A2" w:rsidRDefault="008A44A2" w:rsidP="00991225">
      <w:pPr>
        <w:widowControl/>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本品</w:t>
      </w:r>
      <w:r w:rsidR="002F45BF">
        <w:rPr>
          <w:rFonts w:ascii="仿宋_GB2312" w:eastAsia="仿宋_GB2312" w:hAnsi="Times New Roman" w:cs="Times New Roman" w:hint="eastAsia"/>
          <w:sz w:val="32"/>
          <w:szCs w:val="32"/>
        </w:rPr>
        <w:t>临床使用情况（如注射部位、注射</w:t>
      </w:r>
      <w:r w:rsidR="002F45BF">
        <w:rPr>
          <w:rFonts w:ascii="仿宋_GB2312" w:eastAsia="仿宋_GB2312" w:hAnsi="Times New Roman" w:cs="Times New Roman"/>
          <w:sz w:val="32"/>
          <w:szCs w:val="32"/>
        </w:rPr>
        <w:t>深度、注射后贮库的形态等）</w:t>
      </w:r>
      <w:r w:rsidR="002F45BF">
        <w:rPr>
          <w:rFonts w:ascii="仿宋_GB2312" w:eastAsia="仿宋_GB2312" w:hAnsi="Times New Roman" w:cs="Times New Roman" w:hint="eastAsia"/>
          <w:sz w:val="32"/>
          <w:szCs w:val="32"/>
        </w:rPr>
        <w:t>可能影响药物的扩散和吸收，建议关注</w:t>
      </w:r>
      <w:proofErr w:type="gramStart"/>
      <w:r w:rsidRPr="00573E99">
        <w:rPr>
          <w:rFonts w:ascii="仿宋_GB2312" w:eastAsia="仿宋_GB2312" w:hAnsi="宋体" w:cs="Times New Roman" w:hint="eastAsia"/>
          <w:sz w:val="32"/>
          <w:szCs w:val="32"/>
        </w:rPr>
        <w:t>预充式注射器</w:t>
      </w:r>
      <w:proofErr w:type="gramEnd"/>
      <w:r>
        <w:rPr>
          <w:rFonts w:ascii="仿宋_GB2312" w:eastAsia="仿宋_GB2312" w:hAnsi="宋体" w:cs="Times New Roman" w:hint="eastAsia"/>
          <w:sz w:val="32"/>
          <w:szCs w:val="32"/>
        </w:rPr>
        <w:t>的性能、</w:t>
      </w:r>
      <w:r w:rsidRPr="008A44A2">
        <w:rPr>
          <w:rFonts w:ascii="仿宋_GB2312" w:eastAsia="仿宋_GB2312" w:hAnsi="宋体" w:cs="Times New Roman" w:hint="eastAsia"/>
          <w:sz w:val="32"/>
          <w:szCs w:val="32"/>
        </w:rPr>
        <w:t>针管</w:t>
      </w:r>
      <w:r>
        <w:rPr>
          <w:rFonts w:ascii="仿宋_GB2312" w:eastAsia="仿宋_GB2312" w:hAnsi="宋体" w:cs="Times New Roman" w:hint="eastAsia"/>
          <w:sz w:val="32"/>
          <w:szCs w:val="32"/>
        </w:rPr>
        <w:t>和</w:t>
      </w:r>
      <w:r w:rsidRPr="008A44A2">
        <w:rPr>
          <w:rFonts w:ascii="仿宋_GB2312" w:eastAsia="仿宋_GB2312" w:hAnsi="宋体" w:cs="Times New Roman" w:hint="eastAsia"/>
          <w:sz w:val="32"/>
          <w:szCs w:val="32"/>
        </w:rPr>
        <w:t>针尖</w:t>
      </w:r>
      <w:r>
        <w:rPr>
          <w:rFonts w:ascii="仿宋_GB2312" w:eastAsia="仿宋_GB2312" w:hAnsi="宋体" w:cs="Times New Roman" w:hint="eastAsia"/>
          <w:sz w:val="32"/>
          <w:szCs w:val="32"/>
        </w:rPr>
        <w:t>等</w:t>
      </w:r>
      <w:r w:rsidRPr="008A44A2">
        <w:rPr>
          <w:rFonts w:ascii="仿宋_GB2312" w:eastAsia="仿宋_GB2312" w:hAnsi="宋体" w:cs="Times New Roman" w:hint="eastAsia"/>
          <w:sz w:val="32"/>
          <w:szCs w:val="32"/>
        </w:rPr>
        <w:t>材料部件</w:t>
      </w:r>
      <w:r>
        <w:rPr>
          <w:rFonts w:ascii="仿宋_GB2312" w:eastAsia="仿宋_GB2312" w:hAnsi="宋体" w:cs="Times New Roman" w:hint="eastAsia"/>
          <w:sz w:val="32"/>
          <w:szCs w:val="32"/>
        </w:rPr>
        <w:t>、润滑油残留等。</w:t>
      </w:r>
    </w:p>
    <w:p w14:paraId="135EED41" w14:textId="77777777" w:rsidR="00C90226" w:rsidRPr="00697009" w:rsidRDefault="00C90226" w:rsidP="00C90226">
      <w:pPr>
        <w:widowControl/>
        <w:adjustRightInd w:val="0"/>
        <w:snapToGrid w:val="0"/>
        <w:spacing w:line="360" w:lineRule="auto"/>
        <w:ind w:firstLineChars="200" w:firstLine="640"/>
        <w:rPr>
          <w:rFonts w:ascii="仿宋_GB2312" w:eastAsia="仿宋_GB2312" w:hAnsi="Times New Roman" w:cs="Times New Roman"/>
          <w:sz w:val="32"/>
          <w:szCs w:val="32"/>
        </w:rPr>
      </w:pPr>
      <w:r w:rsidRPr="00A20D77">
        <w:rPr>
          <w:rFonts w:ascii="仿宋_GB2312" w:eastAsia="仿宋_GB2312" w:hAnsi="Times New Roman" w:cs="Times New Roman"/>
          <w:sz w:val="32"/>
          <w:szCs w:val="32"/>
        </w:rPr>
        <w:t>2.</w:t>
      </w:r>
      <w:r w:rsidRPr="00A20D77">
        <w:rPr>
          <w:rFonts w:ascii="仿宋_GB2312" w:eastAsia="仿宋_GB2312" w:hAnsi="Times New Roman" w:cs="Times New Roman" w:hint="eastAsia"/>
          <w:sz w:val="32"/>
          <w:szCs w:val="32"/>
        </w:rPr>
        <w:t>非临床研究：</w:t>
      </w:r>
    </w:p>
    <w:p w14:paraId="3BC09567" w14:textId="6175167B" w:rsidR="00C90226" w:rsidRPr="00697009" w:rsidRDefault="00A20D77" w:rsidP="00C90226">
      <w:pPr>
        <w:widowControl/>
        <w:adjustRightInd w:val="0"/>
        <w:snapToGrid w:val="0"/>
        <w:spacing w:line="360" w:lineRule="auto"/>
        <w:ind w:firstLineChars="200" w:firstLine="640"/>
        <w:rPr>
          <w:rFonts w:ascii="仿宋_GB2312" w:eastAsia="仿宋_GB2312" w:hAnsi="宋体" w:cs="Times New Roman"/>
          <w:sz w:val="32"/>
          <w:szCs w:val="32"/>
        </w:rPr>
      </w:pPr>
      <w:proofErr w:type="gramStart"/>
      <w:r w:rsidRPr="00C90226">
        <w:rPr>
          <w:rFonts w:ascii="仿宋_GB2312" w:eastAsia="仿宋_GB2312" w:hAnsi="Times New Roman" w:cs="Times New Roman" w:hint="eastAsia"/>
          <w:sz w:val="32"/>
          <w:szCs w:val="32"/>
        </w:rPr>
        <w:t>氟维司群</w:t>
      </w:r>
      <w:proofErr w:type="gramEnd"/>
      <w:r w:rsidRPr="00C90226">
        <w:rPr>
          <w:rFonts w:ascii="仿宋_GB2312" w:eastAsia="仿宋_GB2312" w:hAnsi="Times New Roman" w:cs="Times New Roman" w:hint="eastAsia"/>
          <w:sz w:val="32"/>
          <w:szCs w:val="32"/>
        </w:rPr>
        <w:t>注射液</w:t>
      </w:r>
      <w:proofErr w:type="gramStart"/>
      <w:r>
        <w:rPr>
          <w:rFonts w:ascii="仿宋_GB2312" w:eastAsia="仿宋_GB2312" w:hAnsi="Times New Roman" w:cs="Times New Roman" w:hint="eastAsia"/>
          <w:sz w:val="32"/>
          <w:szCs w:val="32"/>
        </w:rPr>
        <w:t>仿制药</w:t>
      </w:r>
      <w:r>
        <w:rPr>
          <w:rFonts w:ascii="仿宋_GB2312" w:eastAsia="仿宋_GB2312" w:hAnsi="Times New Roman" w:cs="Times New Roman"/>
          <w:sz w:val="32"/>
          <w:szCs w:val="32"/>
        </w:rPr>
        <w:t>非临床</w:t>
      </w:r>
      <w:proofErr w:type="gramEnd"/>
      <w:r>
        <w:rPr>
          <w:rFonts w:ascii="仿宋_GB2312" w:eastAsia="仿宋_GB2312" w:hAnsi="Times New Roman" w:cs="Times New Roman"/>
          <w:sz w:val="32"/>
          <w:szCs w:val="32"/>
        </w:rPr>
        <w:t>研究内容包括制剂安全性和药代动力学。</w:t>
      </w:r>
      <w:r>
        <w:rPr>
          <w:rFonts w:ascii="仿宋_GB2312" w:eastAsia="仿宋_GB2312" w:hAnsi="Times New Roman" w:cs="Times New Roman" w:hint="eastAsia"/>
          <w:sz w:val="32"/>
          <w:szCs w:val="32"/>
        </w:rPr>
        <w:t>本品</w:t>
      </w:r>
      <w:r>
        <w:rPr>
          <w:rFonts w:ascii="仿宋_GB2312" w:eastAsia="仿宋_GB2312" w:hAnsi="Times New Roman" w:cs="Times New Roman"/>
          <w:sz w:val="32"/>
          <w:szCs w:val="32"/>
        </w:rPr>
        <w:t>制剂安全性应符合注射液的一般要求。</w:t>
      </w:r>
      <w:r>
        <w:rPr>
          <w:rFonts w:ascii="仿宋_GB2312" w:eastAsia="仿宋_GB2312" w:hAnsi="Times New Roman" w:cs="Times New Roman" w:hint="eastAsia"/>
          <w:sz w:val="32"/>
          <w:szCs w:val="32"/>
        </w:rPr>
        <w:t>结合</w:t>
      </w:r>
      <w:proofErr w:type="gramStart"/>
      <w:r w:rsidRPr="00C90226">
        <w:rPr>
          <w:rFonts w:ascii="仿宋_GB2312" w:eastAsia="仿宋_GB2312" w:hAnsi="Times New Roman" w:cs="Times New Roman" w:hint="eastAsia"/>
          <w:sz w:val="32"/>
          <w:szCs w:val="32"/>
        </w:rPr>
        <w:t>氟维司群</w:t>
      </w:r>
      <w:proofErr w:type="gramEnd"/>
      <w:r w:rsidRPr="00C90226">
        <w:rPr>
          <w:rFonts w:ascii="仿宋_GB2312" w:eastAsia="仿宋_GB2312" w:hAnsi="Times New Roman" w:cs="Times New Roman" w:hint="eastAsia"/>
          <w:sz w:val="32"/>
          <w:szCs w:val="32"/>
        </w:rPr>
        <w:t>注射液</w:t>
      </w:r>
      <w:r>
        <w:rPr>
          <w:rFonts w:ascii="仿宋_GB2312" w:eastAsia="仿宋_GB2312" w:hAnsi="Times New Roman" w:cs="Times New Roman" w:hint="eastAsia"/>
          <w:sz w:val="32"/>
          <w:szCs w:val="32"/>
        </w:rPr>
        <w:t>的</w:t>
      </w:r>
      <w:r>
        <w:rPr>
          <w:rFonts w:ascii="仿宋_GB2312" w:eastAsia="仿宋_GB2312" w:hAnsi="Times New Roman" w:cs="Times New Roman"/>
          <w:sz w:val="32"/>
          <w:szCs w:val="32"/>
        </w:rPr>
        <w:t>特点，</w:t>
      </w:r>
      <w:r>
        <w:rPr>
          <w:rFonts w:ascii="仿宋_GB2312" w:eastAsia="仿宋_GB2312" w:hAnsi="Times New Roman" w:cs="Times New Roman" w:hint="eastAsia"/>
          <w:sz w:val="32"/>
          <w:szCs w:val="32"/>
        </w:rPr>
        <w:t>本</w:t>
      </w:r>
      <w:r>
        <w:rPr>
          <w:rFonts w:ascii="仿宋_GB2312" w:eastAsia="仿宋_GB2312" w:hAnsi="Times New Roman" w:cs="Times New Roman"/>
          <w:sz w:val="32"/>
          <w:szCs w:val="32"/>
        </w:rPr>
        <w:t>指导原则明确了</w:t>
      </w:r>
      <w:r>
        <w:rPr>
          <w:rFonts w:ascii="仿宋_GB2312" w:eastAsia="仿宋_GB2312" w:hAnsi="Times New Roman" w:cs="Times New Roman" w:hint="eastAsia"/>
          <w:sz w:val="32"/>
          <w:szCs w:val="32"/>
        </w:rPr>
        <w:t>本品</w:t>
      </w:r>
      <w:r w:rsidRPr="00573E99">
        <w:rPr>
          <w:rFonts w:ascii="Times New Roman" w:eastAsia="仿宋_GB2312" w:hAnsi="Times New Roman" w:cs="Times New Roman"/>
          <w:sz w:val="32"/>
          <w:szCs w:val="32"/>
        </w:rPr>
        <w:t>药代动力学</w:t>
      </w:r>
      <w:r>
        <w:rPr>
          <w:rFonts w:ascii="Times New Roman" w:eastAsia="仿宋_GB2312" w:hAnsi="Times New Roman" w:cs="Times New Roman" w:hint="eastAsia"/>
          <w:sz w:val="32"/>
          <w:szCs w:val="32"/>
        </w:rPr>
        <w:t>研究的</w:t>
      </w:r>
      <w:r>
        <w:rPr>
          <w:rFonts w:ascii="Times New Roman" w:eastAsia="仿宋_GB2312" w:hAnsi="Times New Roman" w:cs="Times New Roman"/>
          <w:sz w:val="32"/>
          <w:szCs w:val="32"/>
        </w:rPr>
        <w:t>设计实施、</w:t>
      </w:r>
      <w:r>
        <w:rPr>
          <w:rFonts w:ascii="Times New Roman" w:eastAsia="仿宋_GB2312" w:hAnsi="Times New Roman" w:cs="Times New Roman" w:hint="eastAsia"/>
          <w:sz w:val="32"/>
          <w:szCs w:val="32"/>
        </w:rPr>
        <w:t>考察</w:t>
      </w:r>
      <w:r>
        <w:rPr>
          <w:rFonts w:ascii="Times New Roman" w:eastAsia="仿宋_GB2312" w:hAnsi="Times New Roman" w:cs="Times New Roman"/>
          <w:sz w:val="32"/>
          <w:szCs w:val="32"/>
        </w:rPr>
        <w:t>指标</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评价要求。</w:t>
      </w:r>
    </w:p>
    <w:sectPr w:rsidR="00C90226" w:rsidRPr="00697009" w:rsidSect="00C84F1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3237A" w14:textId="77777777" w:rsidR="00B96546" w:rsidRDefault="00B96546" w:rsidP="00C90226">
      <w:r>
        <w:separator/>
      </w:r>
    </w:p>
  </w:endnote>
  <w:endnote w:type="continuationSeparator" w:id="0">
    <w:p w14:paraId="26490081" w14:textId="77777777" w:rsidR="00B96546" w:rsidRDefault="00B96546" w:rsidP="00C9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83662"/>
      <w:docPartObj>
        <w:docPartGallery w:val="Page Numbers (Bottom of Page)"/>
        <w:docPartUnique/>
      </w:docPartObj>
    </w:sdtPr>
    <w:sdtEndPr/>
    <w:sdtContent>
      <w:p w14:paraId="5D1E25E8" w14:textId="30000168" w:rsidR="00C90226" w:rsidRDefault="002A0CA0" w:rsidP="004B5DC1">
        <w:pPr>
          <w:pStyle w:val="a5"/>
          <w:jc w:val="center"/>
        </w:pPr>
        <w:r>
          <w:fldChar w:fldCharType="begin"/>
        </w:r>
        <w:r w:rsidR="00C90226">
          <w:instrText>PAGE   \* MERGEFORMAT</w:instrText>
        </w:r>
        <w:r>
          <w:fldChar w:fldCharType="separate"/>
        </w:r>
        <w:r w:rsidR="00355DF1" w:rsidRPr="00355DF1">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50C3B" w14:textId="77777777" w:rsidR="00B96546" w:rsidRDefault="00B96546" w:rsidP="00C90226">
      <w:r>
        <w:separator/>
      </w:r>
    </w:p>
  </w:footnote>
  <w:footnote w:type="continuationSeparator" w:id="0">
    <w:p w14:paraId="6714D02D" w14:textId="77777777" w:rsidR="00B96546" w:rsidRDefault="00B96546" w:rsidP="00C90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CF"/>
    <w:rsid w:val="000503CA"/>
    <w:rsid w:val="00076D31"/>
    <w:rsid w:val="000A1EF4"/>
    <w:rsid w:val="00116FEF"/>
    <w:rsid w:val="00190FA3"/>
    <w:rsid w:val="001C55F8"/>
    <w:rsid w:val="001E0F56"/>
    <w:rsid w:val="002115B8"/>
    <w:rsid w:val="002222DE"/>
    <w:rsid w:val="00244484"/>
    <w:rsid w:val="002A0CA0"/>
    <w:rsid w:val="002D472B"/>
    <w:rsid w:val="002D7BDD"/>
    <w:rsid w:val="002F448E"/>
    <w:rsid w:val="002F45BF"/>
    <w:rsid w:val="00324983"/>
    <w:rsid w:val="003271DE"/>
    <w:rsid w:val="00355DF1"/>
    <w:rsid w:val="00372354"/>
    <w:rsid w:val="00386FCE"/>
    <w:rsid w:val="003D5EA7"/>
    <w:rsid w:val="0043019F"/>
    <w:rsid w:val="004756E6"/>
    <w:rsid w:val="004B5432"/>
    <w:rsid w:val="00500F37"/>
    <w:rsid w:val="00515C2B"/>
    <w:rsid w:val="00575A07"/>
    <w:rsid w:val="005773D5"/>
    <w:rsid w:val="00590E3F"/>
    <w:rsid w:val="005A112E"/>
    <w:rsid w:val="005D0BEE"/>
    <w:rsid w:val="0064299C"/>
    <w:rsid w:val="006532E2"/>
    <w:rsid w:val="006628DC"/>
    <w:rsid w:val="00667034"/>
    <w:rsid w:val="00676706"/>
    <w:rsid w:val="00690654"/>
    <w:rsid w:val="006965C8"/>
    <w:rsid w:val="00722215"/>
    <w:rsid w:val="007B36D7"/>
    <w:rsid w:val="007E6455"/>
    <w:rsid w:val="008341F0"/>
    <w:rsid w:val="00861614"/>
    <w:rsid w:val="00863372"/>
    <w:rsid w:val="00863622"/>
    <w:rsid w:val="00890FF8"/>
    <w:rsid w:val="008934F9"/>
    <w:rsid w:val="008A44A2"/>
    <w:rsid w:val="008F7AEF"/>
    <w:rsid w:val="008F7F63"/>
    <w:rsid w:val="009023D6"/>
    <w:rsid w:val="009148CF"/>
    <w:rsid w:val="00930EFD"/>
    <w:rsid w:val="00933CDE"/>
    <w:rsid w:val="00991225"/>
    <w:rsid w:val="009C4502"/>
    <w:rsid w:val="00A20D77"/>
    <w:rsid w:val="00A551B2"/>
    <w:rsid w:val="00AB3AC7"/>
    <w:rsid w:val="00AE5D55"/>
    <w:rsid w:val="00B96546"/>
    <w:rsid w:val="00BB0782"/>
    <w:rsid w:val="00BC79A4"/>
    <w:rsid w:val="00C84F14"/>
    <w:rsid w:val="00C90226"/>
    <w:rsid w:val="00CB0AA8"/>
    <w:rsid w:val="00CC314C"/>
    <w:rsid w:val="00CD541F"/>
    <w:rsid w:val="00CD7A14"/>
    <w:rsid w:val="00D9249C"/>
    <w:rsid w:val="00E10167"/>
    <w:rsid w:val="00E53328"/>
    <w:rsid w:val="00E55D23"/>
    <w:rsid w:val="00EB6533"/>
    <w:rsid w:val="00EE4E58"/>
    <w:rsid w:val="00F204E8"/>
    <w:rsid w:val="00F44F07"/>
    <w:rsid w:val="00FA1331"/>
    <w:rsid w:val="00FB43A0"/>
    <w:rsid w:val="00FC40B7"/>
    <w:rsid w:val="00FD6D06"/>
    <w:rsid w:val="00FF62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CCA07"/>
  <w15:docId w15:val="{908072B2-44AB-45A2-B72F-344C76B8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2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0226"/>
    <w:rPr>
      <w:sz w:val="18"/>
      <w:szCs w:val="18"/>
    </w:rPr>
  </w:style>
  <w:style w:type="paragraph" w:styleId="a5">
    <w:name w:val="footer"/>
    <w:basedOn w:val="a"/>
    <w:link w:val="a6"/>
    <w:uiPriority w:val="99"/>
    <w:unhideWhenUsed/>
    <w:rsid w:val="00C90226"/>
    <w:pPr>
      <w:tabs>
        <w:tab w:val="center" w:pos="4153"/>
        <w:tab w:val="right" w:pos="8306"/>
      </w:tabs>
      <w:snapToGrid w:val="0"/>
      <w:jc w:val="left"/>
    </w:pPr>
    <w:rPr>
      <w:sz w:val="18"/>
      <w:szCs w:val="18"/>
    </w:rPr>
  </w:style>
  <w:style w:type="character" w:customStyle="1" w:styleId="a6">
    <w:name w:val="页脚 字符"/>
    <w:basedOn w:val="a0"/>
    <w:link w:val="a5"/>
    <w:uiPriority w:val="99"/>
    <w:rsid w:val="00C90226"/>
    <w:rPr>
      <w:sz w:val="18"/>
      <w:szCs w:val="18"/>
    </w:rPr>
  </w:style>
  <w:style w:type="paragraph" w:styleId="a7">
    <w:name w:val="Document Map"/>
    <w:basedOn w:val="a"/>
    <w:link w:val="a8"/>
    <w:uiPriority w:val="99"/>
    <w:semiHidden/>
    <w:unhideWhenUsed/>
    <w:rsid w:val="00AB3AC7"/>
    <w:rPr>
      <w:rFonts w:ascii="宋体" w:eastAsia="宋体"/>
      <w:sz w:val="18"/>
      <w:szCs w:val="18"/>
    </w:rPr>
  </w:style>
  <w:style w:type="character" w:customStyle="1" w:styleId="a8">
    <w:name w:val="文档结构图 字符"/>
    <w:basedOn w:val="a0"/>
    <w:link w:val="a7"/>
    <w:uiPriority w:val="99"/>
    <w:semiHidden/>
    <w:rsid w:val="00AB3AC7"/>
    <w:rPr>
      <w:rFonts w:ascii="宋体" w:eastAsia="宋体"/>
      <w:sz w:val="18"/>
      <w:szCs w:val="18"/>
    </w:rPr>
  </w:style>
  <w:style w:type="character" w:styleId="a9">
    <w:name w:val="annotation reference"/>
    <w:basedOn w:val="a0"/>
    <w:uiPriority w:val="99"/>
    <w:semiHidden/>
    <w:unhideWhenUsed/>
    <w:rsid w:val="002F45BF"/>
    <w:rPr>
      <w:sz w:val="21"/>
      <w:szCs w:val="21"/>
    </w:rPr>
  </w:style>
  <w:style w:type="paragraph" w:styleId="aa">
    <w:name w:val="annotation text"/>
    <w:basedOn w:val="a"/>
    <w:link w:val="ab"/>
    <w:uiPriority w:val="99"/>
    <w:semiHidden/>
    <w:unhideWhenUsed/>
    <w:rsid w:val="002F45BF"/>
    <w:pPr>
      <w:jc w:val="left"/>
    </w:pPr>
  </w:style>
  <w:style w:type="character" w:customStyle="1" w:styleId="ab">
    <w:name w:val="批注文字 字符"/>
    <w:basedOn w:val="a0"/>
    <w:link w:val="aa"/>
    <w:uiPriority w:val="99"/>
    <w:semiHidden/>
    <w:rsid w:val="002F45BF"/>
  </w:style>
  <w:style w:type="paragraph" w:styleId="ac">
    <w:name w:val="annotation subject"/>
    <w:basedOn w:val="aa"/>
    <w:next w:val="aa"/>
    <w:link w:val="ad"/>
    <w:uiPriority w:val="99"/>
    <w:semiHidden/>
    <w:unhideWhenUsed/>
    <w:rsid w:val="002F45BF"/>
    <w:rPr>
      <w:b/>
      <w:bCs/>
    </w:rPr>
  </w:style>
  <w:style w:type="character" w:customStyle="1" w:styleId="ad">
    <w:name w:val="批注主题 字符"/>
    <w:basedOn w:val="ab"/>
    <w:link w:val="ac"/>
    <w:uiPriority w:val="99"/>
    <w:semiHidden/>
    <w:rsid w:val="002F45BF"/>
    <w:rPr>
      <w:b/>
      <w:bCs/>
    </w:rPr>
  </w:style>
  <w:style w:type="paragraph" w:styleId="ae">
    <w:name w:val="Balloon Text"/>
    <w:basedOn w:val="a"/>
    <w:link w:val="af"/>
    <w:uiPriority w:val="99"/>
    <w:semiHidden/>
    <w:unhideWhenUsed/>
    <w:rsid w:val="002F45BF"/>
    <w:rPr>
      <w:sz w:val="18"/>
      <w:szCs w:val="18"/>
    </w:rPr>
  </w:style>
  <w:style w:type="character" w:customStyle="1" w:styleId="af">
    <w:name w:val="批注框文本 字符"/>
    <w:basedOn w:val="a0"/>
    <w:link w:val="ae"/>
    <w:uiPriority w:val="99"/>
    <w:semiHidden/>
    <w:rsid w:val="002F45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455543">
      <w:bodyDiv w:val="1"/>
      <w:marLeft w:val="0"/>
      <w:marRight w:val="0"/>
      <w:marTop w:val="0"/>
      <w:marBottom w:val="0"/>
      <w:divBdr>
        <w:top w:val="none" w:sz="0" w:space="0" w:color="auto"/>
        <w:left w:val="none" w:sz="0" w:space="0" w:color="auto"/>
        <w:bottom w:val="none" w:sz="0" w:space="0" w:color="auto"/>
        <w:right w:val="none" w:sz="0" w:space="0" w:color="auto"/>
      </w:divBdr>
    </w:div>
    <w:div w:id="18923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那馨竹</dc:creator>
  <cp:lastModifiedBy>刘建珍</cp:lastModifiedBy>
  <cp:revision>4</cp:revision>
  <dcterms:created xsi:type="dcterms:W3CDTF">2020-08-03T02:37:00Z</dcterms:created>
  <dcterms:modified xsi:type="dcterms:W3CDTF">2020-08-19T08:09:00Z</dcterms:modified>
</cp:coreProperties>
</file>